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768d6k.htm"/>
      <w:bookmarkStart w:id="1" w:name="ksd12476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This Form 6-K is hereby incorporated by reference into the Company’s Registration Statement on Form S-8 filed with the U.S. Securities and Exchange Commission on June 4, 2025 (Registration No. 333-287771).</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Notes Offering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2026, Silicon Motion Technology Corporation, a Cayman Islands exempted company (the “Company”), issued a press release announcing that it intends to offer, subject to market and other conditions, $800,000,000 aggregate principal amount of convertible senior notes due 2031 (the “Notes”) in a private offering to persons reasonably believed to be “qualified institutional buyers” pursuant to Rule 144A under the Securities Act of 1933, as amended (the “Securities Act”) (the “Offering”). The Company also expects to grant the initial purchasers of the Notes an option to purchase, for settlement within a period of 13 days from, and including, the date the Notes are first issued, up to an additional $120,000,000 aggregate principal amount of Notes. A copy of the press release announcing the Offering is furnished as Exhibit 99.1 to this Report on Form 6-K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Interim Financial Statements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unaudited condensed consolidated financial information of the Company as of and for the six months ended June 30, 2026, is furnished as Exhibit 99.2 to this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5"/>
        <w:gridCol w:w="692"/>
        <w:gridCol w:w="8658"/>
      </w:tblGrid>
      <w:tr>
        <w:trPr/>
        <w:tc>
          <w:tcPr>
            <w:tcW w:w="855"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No.</w:t>
            </w:r>
          </w:p>
        </w:tc>
        <w:tc>
          <w:tcPr>
            <w:tcW w:w="692" w:type="dxa"/>
            <w:tcBorders/>
            <w:vAlign w:val="bottom"/>
          </w:tcPr>
          <w:p>
            <w:pPr>
              <w:pStyle w:val="TableContents"/>
              <w:bidi w:val="0"/>
              <w:spacing w:before="0" w:after="283"/>
              <w:jc w:val="left"/>
              <w:rPr/>
            </w:pPr>
            <w:r>
              <w:rPr/>
              <w:t>  </w:t>
            </w:r>
          </w:p>
        </w:tc>
        <w:tc>
          <w:tcPr>
            <w:tcW w:w="865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99.1</w:t>
            </w:r>
          </w:p>
        </w:tc>
        <w:tc>
          <w:tcPr>
            <w:tcW w:w="692" w:type="dxa"/>
            <w:tcBorders/>
            <w:vAlign w:val="bottom"/>
          </w:tcPr>
          <w:p>
            <w:pPr>
              <w:pStyle w:val="TableContents"/>
              <w:bidi w:val="0"/>
              <w:spacing w:before="0" w:after="283"/>
              <w:jc w:val="left"/>
              <w:rPr/>
            </w:pPr>
            <w:r>
              <w:rPr/>
              <w:t>  </w:t>
            </w:r>
          </w:p>
        </w:tc>
        <w:tc>
          <w:tcPr>
            <w:tcW w:w="8658" w:type="dxa"/>
            <w:tcBorders/>
          </w:tcPr>
          <w:p>
            <w:pPr>
              <w:pStyle w:val="TableContents"/>
              <w:bidi w:val="0"/>
              <w:spacing w:before="0" w:after="283"/>
              <w:jc w:val="left"/>
              <w:rPr/>
            </w:pPr>
            <w:hyperlink w:anchor="d124768dex991.htm">
              <w:r>
                <w:rPr>
                  <w:rStyle w:val="InternetLink"/>
                </w:rPr>
                <w:t xml:space="preserve">Press Release issued by the Company on August 10, 2026 announcing the launch of the Offering. </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99.2</w:t>
            </w:r>
          </w:p>
        </w:tc>
        <w:tc>
          <w:tcPr>
            <w:tcW w:w="692" w:type="dxa"/>
            <w:tcBorders/>
            <w:vAlign w:val="bottom"/>
          </w:tcPr>
          <w:p>
            <w:pPr>
              <w:pStyle w:val="TableContents"/>
              <w:bidi w:val="0"/>
              <w:spacing w:before="0" w:after="283"/>
              <w:jc w:val="left"/>
              <w:rPr/>
            </w:pPr>
            <w:r>
              <w:rPr/>
              <w:t>  </w:t>
            </w:r>
          </w:p>
        </w:tc>
        <w:tc>
          <w:tcPr>
            <w:tcW w:w="8658" w:type="dxa"/>
            <w:tcBorders/>
          </w:tcPr>
          <w:p>
            <w:pPr>
              <w:pStyle w:val="TableContents"/>
              <w:bidi w:val="0"/>
              <w:spacing w:before="0" w:after="283"/>
              <w:jc w:val="left"/>
              <w:rPr/>
            </w:pPr>
            <w:hyperlink w:anchor="d124768dex992.htm">
              <w:r>
                <w:rPr>
                  <w:rStyle w:val="InternetLink"/>
                </w:rPr>
                <w:t xml:space="preserve">Unaudited condensed consolidated financial information of the Company as of and for the six months ended June 30, 2026, </w:t>
              </w:r>
            </w:hyperlink>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Section 27A of the Securities Act and Section 21E of the Securities Exchange Act of 1934, as amended, that are not historical in nature and typically address future or anticipated events, expectations or beliefs. Forward-looking statements include, without limitation, statements regarding the anticipated terms of the Notes, the completion, timing and size of the Offering and the intended use of the proceeds. These forward-looking statements can often, but not always, be identified by phrases such as “believes,” “expects,” “anticipates,” “foresees,” “forecasts,” “estimates,” “plans,” “intends,” “will,” “may,” “should,” “projects,” “might,” “could,” or other words or phrases of similar import. Similarly, statements that describe our business strategy, outlook, objectives, plans, intentions or goals also are forward-looking statements. While the Company believes there is a reasonable basis for the forward-looking statements in this Report, such statements involve certain risks and uncertainties, many of which are beyond the Company’s control, that could cause actual results to differ materially from those indicated in, or implied by, such forward-looking statements. Such risks and uncertainties include, but are not limited to: (i) market conditions, including market interest rates; (ii) the trading price and volatility of the Company’s American depositary shares (“ADSs”), each representing four ordinary shares of the Company, par value $0.01 per share; and (iii) risks relating to the Company’s business and the Offering, including those described in the Company’s most recent Annual Report on Form 20-F and the other reports that the Company files or furnishes from time to time with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not consummate the Offering and, if the Offering is consummated, the Company cannot provide any assurances regarding the final terms of the Offering or the Notes or its ability to effectively apply the net proceeds from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Report speak only as of the date of this Report. The Company does not undertake any obligation to update any forward-looking statements to reflect subsequent events or circumstances,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does not constitute an offer to sell or the solicitation of an offer to buy any security and shall not constitute an offer, solicitation or sale of any security in any jurisdiction in which such offering, solicitation or sale would be unlawful. The Notes, any ADSs issuable upon conversion of the Notes and the ordinary shares represented thereby will not be registered under the Securities Act, any state securities laws or the securities laws of any other jurisdiction, and may not be offered or sold in the United States absent registration or an applicable exemption from registration.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August 10,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24768dex991.htm"/>
      <w:bookmarkStart w:id="3" w:name="ksd12476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7621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419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Silicon Motion Technology Corporation Announces Proposed </w:t>
      </w:r>
    </w:p>
    <w:p>
      <w:pPr>
        <w:pStyle w:val="TextBody"/>
        <w:bidi w:val="0"/>
        <w:spacing w:before="0" w:after="0"/>
        <w:jc w:val="center"/>
        <w:rPr>
          <w:rFonts w:ascii="Times New Roman" w:hAnsi="Times New Roman"/>
          <w:b/>
          <w:sz w:val="20"/>
        </w:rPr>
      </w:pPr>
      <w:r>
        <w:rPr>
          <w:rFonts w:ascii="Times New Roman" w:hAnsi="Times New Roman"/>
          <w:b/>
          <w:sz w:val="20"/>
        </w:rPr>
        <w:t xml:space="preserve">Offering of </w:t>
      </w:r>
    </w:p>
    <w:p>
      <w:pPr>
        <w:pStyle w:val="TextBody"/>
        <w:bidi w:val="0"/>
        <w:spacing w:before="0" w:after="0"/>
        <w:jc w:val="center"/>
        <w:rPr>
          <w:rFonts w:ascii="Times New Roman" w:hAnsi="Times New Roman"/>
          <w:b/>
          <w:sz w:val="20"/>
        </w:rPr>
      </w:pPr>
      <w:r>
        <w:rPr>
          <w:rFonts w:ascii="Times New Roman" w:hAnsi="Times New Roman"/>
          <w:b/>
          <w:sz w:val="20"/>
        </w:rPr>
        <w:t xml:space="preserve">0.00% Convertible Senior Notes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Opportunistic capital raise with proceeds intended to enhance financial flexibility and support growth initiatives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TAIPEI, Taiwan and MILPITAS, Calif., August</w:t>
      </w:r>
      <w:r>
        <w:rPr>
          <w:rFonts w:ascii="Times New Roman" w:hAnsi="Times New Roman"/>
          <w:sz w:val="20"/>
        </w:rPr>
        <w:t> </w:t>
      </w:r>
      <w:r>
        <w:rPr>
          <w:rFonts w:ascii="Times New Roman" w:hAnsi="Times New Roman"/>
          <w:b/>
          <w:sz w:val="20"/>
        </w:rPr>
        <w:t>10, 2026 (GLOBE NEWSWIRE)</w:t>
      </w:r>
      <w:r>
        <w:rPr>
          <w:rFonts w:ascii="Times New Roman" w:hAnsi="Times New Roman"/>
          <w:sz w:val="20"/>
        </w:rPr>
        <w:t xml:space="preserve"> – Silicon Motion Technology Corporation (NasdaqGS: SIMO) (“Silicon Motion”), a global leader in designing and marketing NAND flash controllers for solid-state storage devices (“SSDs”), today announced its intention to offer, subject to market and other conditions, $800,000,000 aggregate principal amount of 0.00% convertible senior notes due 2031 (the “Notes”) in a private offering to persons reasonably believed to be “qualified institutional buyers” pursuant to Rule 144A under the Securities Act of 1933, as amended (the “Securities Act”). Silicon Motion also expects to grant the initial purchasers of the Notes an option to purchase, for settlement within a period of 13 days from, and including, the date the Notes are first issued, up to an additional $120,000,000 aggregate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senior, unsecured obligations of Silicon Motion. The Notes will not bear regular interest, and the principal amount of the Notes will not accrete. The Notes will mature on August 15, 2031, unless earlier repurchased, redeemed or converted. Prior to the close of business on the business day immediately preceding May 15, 2031, holders of the Notes will have the right to convert their Notes upon the satisfaction of specified conditions and during certain periods. On or after May 15, 2031 until the close of business on the second scheduled trading day immediately preceding the maturity date, the Notes will be convertible at the option of the holders at any time regardless of these conditions. Silicon Motion will settle each conversion by paying the principal amount (or, if less, the conversion value) of the Notes in cash, and any conversion value in excess of the principal amount will be settled in cash, American depositary shares of Silicon Motion (the “ADSs”), each representing four ordinary shares of Silicon Motion, par value $0.01 per share, or any combination thereof, at Silicon Motion’s election.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may redeem the Notes for cash at its option, in whole but not in part, in connection with certain tax-related events. In addition, the Notes will be redeemable, in whole or in part (subject to certain limitations), for cash, at Silicon Motion’s option, on or after August 20, 2029 if the last reported sale price of the ADSs equals or exceeds 130% of the conversion price for a specified period of time and certain other conditions are satisfied. The redemption price, in each case, will be equal to the principal amount of the Notes to be redeemed, plus accrued and unpaid special interest, if any, to, but excluding, the redemption date. Holders of the Notes will have the right to require Silicon Motion to repurchase their Notes upon the occurrence of a fundamental change (as defined in the indenture governing the Notes) or on August 15, 2029, in each case, at a cash repurchase price equal to the principal amount of the Notes to be repurchased, plus accrued and unpaid special interest, if any, to, but excluding, the applicable repurchase date. The initial conversion rate and other terms of the Notes will be determined at the pricing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621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Silicon Motion intends to use the net proceeds from the offering for general corporate purposes and to repay amounts outstanding under its credit agreement. Pending the use of the net proceeds from this offering as described above, Silicon Motion may invest the net proceeds in short-term, investment grade, interest-bearing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Notes, the ADSs, if any, issuable upon conversion of the Notes, and the ordinary shares represented thereby, have not been, and will not be, registered under the Securities Act, or any other securities laws, and the Notes, any such ADSs and ordinary shares cannot be offered or sold except pursuant to an exemption from, or in a transaction not subject to, the registration requirements of the Securities Act and any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the Notes, the ADSs, if any, issuable upon conversion of the Notes, or the ordinary shares represented thereby, nor will there be any offer, solicitation or sale of the Notes, any such ADSs or ordinary shares, in any state or other jurisdiction in which such offer, solicitation or sale would be unlawful.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Silicon Motion Technology Corporation </w:t>
      </w:r>
    </w:p>
    <w:p>
      <w:pPr>
        <w:pStyle w:val="TextBody"/>
        <w:bidi w:val="0"/>
        <w:spacing w:before="120" w:after="0"/>
        <w:jc w:val="left"/>
        <w:rPr>
          <w:rFonts w:ascii="Times New Roman" w:hAnsi="Times New Roman"/>
          <w:sz w:val="20"/>
        </w:rPr>
      </w:pPr>
      <w:r>
        <w:rPr>
          <w:rFonts w:ascii="Times New Roman" w:hAnsi="Times New Roman"/>
          <w:sz w:val="20"/>
        </w:rPr>
        <w:t xml:space="preserve">Silicon Motion Technology Corporation (NasdaqGS: SIMO) is the global leader in supplying NAND flash controllers for SSDs. The company ships more SSD controllers than any other supplier worldwide for servers, PCs, and other edge devices, and is also the leading merchant provider of eMMC and UFS embedded storage controllers used in smartphones, IoT products, and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also delivers customized, high-performance controller solutions for Enterprise SSDs, Enterprise boot drives, Edge SSDs, Embedded UFS &amp; eMMC, and Ferri solutions for automotive. Its controllers and storage solutions are designed to power the world’s most advanced AI Infrastructure, Edge AI, and Physical AI, combining high performance, low power, and proven reliability.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including statements regarding the anticipated terms of the Notes being offered, the completion, timing and size of the proposed offering and the intended use of the proceeds. Forward-looking statements represent Silicon Motion’s current expectations regarding future events and are subject to known and unknown risks and uncertainties that could cause actual results to differ materially from those indicated in, or implied by, the forward-looking statements. Among those risks and uncertainties are market conditions, including market interest rates, the trading price and volatility of the ADSs and risks relating to Silicon Motion’s business, including those described in documents Silicon Motion files from time to time with the U.S. Securities and Exchange Commission, including Silicon Motion’s Annual Report on Form 20-F filed with the U.S. Securities and Exchange Commission on April 30, 2026. Silicon Motion may not consummate the proposed offering described in this press release and, if the proposed offering is consummated, cannot provide any assurances regarding the final terms of the offering or the Notes or its ability to effectively apply the net proceeds as described above. The forward-looking statements included in this press release speak only as of the date of this press release, and Silicon Motion does not undertake to update the statements included in this press release for subsequent developments,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62125"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62125"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Silicon Motion Investor 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4"/>
        <w:gridCol w:w="120"/>
        <w:gridCol w:w="4831"/>
      </w:tblGrid>
      <w:tr>
        <w:trPr/>
        <w:tc>
          <w:tcPr>
            <w:tcW w:w="52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5254" w:type="dxa"/>
            <w:tcBorders/>
          </w:tcPr>
          <w:p>
            <w:pPr>
              <w:pStyle w:val="TableContents"/>
              <w:bidi w:val="0"/>
              <w:spacing w:before="0" w:after="0"/>
              <w:jc w:val="left"/>
              <w:rPr/>
            </w:pPr>
            <w:r>
              <w:rPr/>
              <w:t> </w:t>
            </w:r>
            <w:r>
              <w:rPr>
                <w:rFonts w:ascii="Times New Roman" w:hAnsi="Times New Roman"/>
                <w:sz w:val="20"/>
              </w:rPr>
              <w:t>Tom Sepenzis</w:t>
            </w:r>
          </w:p>
          <w:p>
            <w:pPr>
              <w:pStyle w:val="TableContents"/>
              <w:bidi w:val="0"/>
              <w:spacing w:before="0" w:after="0"/>
              <w:jc w:val="left"/>
              <w:rPr/>
            </w:pPr>
            <w:r>
              <w:rPr/>
              <w:t> </w:t>
            </w:r>
            <w:r>
              <w:rPr>
                <w:rFonts w:ascii="Times New Roman" w:hAnsi="Times New Roman"/>
                <w:sz w:val="20"/>
              </w:rPr>
              <w:t>Vice President of Investor Relations &amp; Strategy</w:t>
            </w:r>
          </w:p>
          <w:p>
            <w:pPr>
              <w:pStyle w:val="TableContents"/>
              <w:bidi w:val="0"/>
              <w:spacing w:before="0" w:after="20"/>
              <w:jc w:val="left"/>
              <w:rPr/>
            </w:pPr>
            <w:r>
              <w:rPr/>
              <w:t> </w:t>
            </w:r>
            <w:r>
              <w:rPr>
                <w:rFonts w:ascii="Times New Roman" w:hAnsi="Times New Roman"/>
                <w:sz w:val="20"/>
                <w:u w:val="single"/>
              </w:rPr>
              <w:t>tsepenzis@siliconmotion.com</w:t>
            </w:r>
          </w:p>
        </w:tc>
        <w:tc>
          <w:tcPr>
            <w:tcW w:w="120"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0"/>
              <w:jc w:val="left"/>
              <w:rPr>
                <w:rFonts w:ascii="Times New Roman" w:hAnsi="Times New Roman"/>
                <w:sz w:val="20"/>
              </w:rPr>
            </w:pPr>
            <w:r>
              <w:rPr>
                <w:rFonts w:ascii="Times New Roman" w:hAnsi="Times New Roman"/>
                <w:sz w:val="20"/>
              </w:rPr>
              <w:t>Selina Hsieh</w:t>
            </w:r>
          </w:p>
          <w:p>
            <w:pPr>
              <w:pStyle w:val="TableContents"/>
              <w:bidi w:val="0"/>
              <w:spacing w:before="0" w:after="0"/>
              <w:jc w:val="left"/>
              <w:rPr>
                <w:rFonts w:ascii="Times New Roman" w:hAnsi="Times New Roman"/>
                <w:sz w:val="20"/>
              </w:rPr>
            </w:pPr>
            <w:r>
              <w:rPr>
                <w:rFonts w:ascii="Times New Roman" w:hAnsi="Times New Roman"/>
                <w:sz w:val="20"/>
              </w:rPr>
              <w:t>Investor Relations</w:t>
            </w:r>
          </w:p>
          <w:p>
            <w:pPr>
              <w:pStyle w:val="TableContents"/>
              <w:bidi w:val="0"/>
              <w:spacing w:before="0" w:after="20"/>
              <w:jc w:val="left"/>
              <w:rPr>
                <w:rFonts w:ascii="Times New Roman" w:hAnsi="Times New Roman"/>
                <w:sz w:val="20"/>
                <w:u w:val="single"/>
              </w:rPr>
            </w:pPr>
            <w:r>
              <w:rPr>
                <w:rFonts w:ascii="Times New Roman" w:hAnsi="Times New Roman"/>
                <w:sz w:val="20"/>
                <w:u w:val="single"/>
              </w:rPr>
              <w:t>ir@siliconmotion.com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Heading5"/>
        <w:bidi w:val="0"/>
        <w:jc w:val="left"/>
        <w:rPr/>
      </w:pPr>
      <w:hyperlink w:anchor="toc">
        <w:bookmarkStart w:id="4" w:name="d124768dex992.htm"/>
        <w:bookmarkStart w:id="5" w:name="ksd124768dex992"/>
        <w:bookmarkEnd w:id="4"/>
        <w:bookmarkEnd w:id="5"/>
        <w:r>
          <w:rPr>
            <w:rStyle w:val="InternetLink"/>
            <w:b/>
            <w:sz w:val="20"/>
          </w:rPr>
          <w:t>Table of Contents</w:t>
        </w:r>
      </w:hyperlink>
      <w:r>
        <w:br w:type="page"/>
      </w:r>
    </w:p>
    <w:p>
      <w:pPr>
        <w:pStyle w:val="TextBody"/>
        <w:bidi w:val="0"/>
        <w:spacing w:before="0" w:after="0"/>
        <w:jc w:val="right"/>
        <w:rPr>
          <w:rFonts w:ascii="Times New Roman" w:hAnsi="Times New Roman"/>
          <w:b/>
          <w:sz w:val="20"/>
        </w:rPr>
      </w:pPr>
      <w:r>
        <w:rPr>
          <w:rFonts w:ascii="Times New Roman" w:hAnsi="Times New Roman"/>
          <w:b/>
          <w:sz w:val="20"/>
        </w:rPr>
        <w:t xml:space="preserve">Exhibit 99.2 </w:t>
      </w:r>
    </w:p>
    <w:p>
      <w:pPr>
        <w:pStyle w:val="TextBody"/>
        <w:bidi w:val="0"/>
        <w:spacing w:before="480" w:after="0"/>
        <w:jc w:val="center"/>
        <w:rPr>
          <w:rFonts w:ascii="Times New Roman" w:hAnsi="Times New Roman"/>
          <w:b/>
          <w:sz w:val="20"/>
        </w:rPr>
      </w:pPr>
      <w:r>
        <w:rPr>
          <w:rFonts w:ascii="Times New Roman" w:hAnsi="Times New Roman"/>
          <w:b/>
          <w:sz w:val="20"/>
        </w:rPr>
        <w:t xml:space="preserve">SILICON MOTION TECHNOLOGY CORPORATION AND SUBSIDIARIES </w:t>
      </w:r>
    </w:p>
    <w:p>
      <w:pPr>
        <w:pStyle w:val="TextBody"/>
        <w:bidi w:val="0"/>
        <w:spacing w:before="240" w:after="0"/>
        <w:jc w:val="center"/>
        <w:rPr>
          <w:rFonts w:ascii="Times New Roman" w:hAnsi="Times New Roman"/>
          <w:b/>
          <w:sz w:val="20"/>
        </w:rPr>
      </w:pPr>
      <w:bookmarkStart w:id="6" w:name="toc"/>
      <w:bookmarkEnd w:id="6"/>
      <w:r>
        <w:rPr>
          <w:rFonts w:ascii="Times New Roman" w:hAnsi="Times New Roman"/>
          <w:b/>
          <w:sz w:val="20"/>
        </w:rPr>
        <w:t xml:space="preserve">INDEX TO CONDENSED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tcPr>
          <w:p>
            <w:pPr>
              <w:pStyle w:val="TableContents"/>
              <w:bidi w:val="0"/>
              <w:spacing w:before="0" w:after="0"/>
              <w:jc w:val="left"/>
              <w:rPr/>
            </w:pPr>
            <w:hyperlink w:anchor="ex99_2toc124768_1">
              <w:r>
                <w:rPr>
                  <w:rStyle w:val="InternetLink"/>
                  <w:rFonts w:ascii="Times New Roman" w:hAnsi="Times New Roman"/>
                  <w:sz w:val="20"/>
                </w:rPr>
                <w:t>Unaudited Condensed Consolidated Balance Sheets as of Dec 31, 2025 and June 30, 2026</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2toc124768_2">
              <w:r>
                <w:rPr>
                  <w:rStyle w:val="InternetLink"/>
                  <w:rFonts w:ascii="Times New Roman" w:hAnsi="Times New Roman"/>
                  <w:sz w:val="20"/>
                </w:rPr>
                <w:t>Unaudited Condensed Consolidated Statements of Income for the Six Months Ended June 30, 2025 and 2026</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2toc124768_3">
              <w:r>
                <w:rPr>
                  <w:rStyle w:val="InternetLink"/>
                  <w:rFonts w:ascii="Times New Roman" w:hAnsi="Times New Roman"/>
                  <w:sz w:val="20"/>
                </w:rPr>
                <w:t>Unaudited Condensed Consolidated Statements of Comprehensive Income for the Six Months Ended June 30, 2025 and 2026</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2toc124768_4">
              <w:r>
                <w:rPr>
                  <w:rStyle w:val="InternetLink"/>
                  <w:rFonts w:ascii="Times New Roman" w:hAnsi="Times New Roman"/>
                  <w:sz w:val="20"/>
                </w:rPr>
                <w:t>Unaudited Condensed Consolidated Statements of Changes in Shareholders’ Equity for the Six Months Ended June 30, 2025 and 2026</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2toc124768_5">
              <w:r>
                <w:rPr>
                  <w:rStyle w:val="InternetLink"/>
                  <w:rFonts w:ascii="Times New Roman" w:hAnsi="Times New Roman"/>
                  <w:sz w:val="20"/>
                </w:rPr>
                <w:t>Unaudited Condensed Consolidated Statements of Cash Flows for the Six Months Ended June 30, 2025 and 2026</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ex99_2toc124768_6">
              <w:r>
                <w:rPr>
                  <w:rStyle w:val="InternetLink"/>
                  <w:rFonts w:ascii="Times New Roman" w:hAnsi="Times New Roman"/>
                  <w:sz w:val="20"/>
                </w:rPr>
                <w:t>Notes to Unaudited Condensed Consolidated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pStyle w:val="TextBody"/>
        <w:bidi w:val="0"/>
        <w:spacing w:before="240" w:after="0"/>
        <w:jc w:val="center"/>
        <w:rPr>
          <w:rFonts w:ascii="Times New Roman" w:hAnsi="Times New Roman"/>
          <w:b/>
          <w:sz w:val="20"/>
        </w:rPr>
      </w:pPr>
      <w:bookmarkStart w:id="7" w:name="ex99_2toc124768_1"/>
      <w:bookmarkEnd w:id="7"/>
      <w:r>
        <w:rPr>
          <w:rFonts w:ascii="Times New Roman" w:hAnsi="Times New Roman"/>
          <w:b/>
          <w:sz w:val="20"/>
        </w:rPr>
        <w:t xml:space="preserve">UNAUDITED 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Par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1"/>
        <w:gridCol w:w="151"/>
        <w:gridCol w:w="78"/>
        <w:gridCol w:w="1335"/>
        <w:gridCol w:w="60"/>
        <w:gridCol w:w="151"/>
        <w:gridCol w:w="60"/>
        <w:gridCol w:w="996"/>
        <w:gridCol w:w="63"/>
      </w:tblGrid>
      <w:tr>
        <w:trPr/>
        <w:tc>
          <w:tcPr>
            <w:tcW w:w="731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1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3" w:type="dxa"/>
            <w:tcBorders/>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3"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center"/>
              <w:rPr>
                <w:b/>
              </w:rPr>
            </w:pPr>
            <w:r>
              <w:rPr>
                <w:b/>
              </w:rPr>
              <w:t>US$</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201,842</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74,367</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211,546</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323,638</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421,798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673,042</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assets-current</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71,297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103,918</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36,885</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41,526</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943,368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1,216,491</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29,676</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127,403</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218,966</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232,805</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assets, net</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9,051</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9,581</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13,195</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12,588</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8,463</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6,363</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1,222,719</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1,605,231</w:t>
            </w:r>
          </w:p>
        </w:tc>
        <w:tc>
          <w:tcPr>
            <w:tcW w:w="63" w:type="dxa"/>
            <w:tcBorders/>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10142"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63" w:type="dxa"/>
            <w:tcBorders/>
            <w:shd w:fill="CCEEFF" w:val="clear"/>
          </w:tcPr>
          <w:p>
            <w:pPr>
              <w:pStyle w:val="TableContents"/>
              <w:bidi w:val="0"/>
              <w:spacing w:before="0" w:after="0"/>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and accounts payable</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34,745</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103,338</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Short-term bank loans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59,183</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22,426</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37,969</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Refund liabilities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6,012</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14,497</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276,340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267,219</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339,523</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482,206</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52,459</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76,177</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391,982</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558,383</w:t>
            </w:r>
          </w:p>
        </w:tc>
        <w:tc>
          <w:tcPr>
            <w:tcW w:w="63" w:type="dxa"/>
            <w:tcBorders/>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at US$0.01 par value per share</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Authorized: 500,000 thousand shares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outstanding: 134,245 thousand shares and 135,631 thousand shares as of December 31,2025 and June 30, 2026, respectively</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1,342</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1,356</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359,927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371,681</w:t>
            </w:r>
          </w:p>
        </w:tc>
        <w:tc>
          <w:tcPr>
            <w:tcW w:w="63" w:type="dxa"/>
            <w:tcBorders/>
            <w:vAlign w:val="bottom"/>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1,339</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3,286</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468,129</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670,525</w:t>
            </w:r>
          </w:p>
        </w:tc>
        <w:tc>
          <w:tcPr>
            <w:tcW w:w="63" w:type="dxa"/>
            <w:tcBorders/>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5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830,737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1,046,848</w:t>
            </w:r>
          </w:p>
        </w:tc>
        <w:tc>
          <w:tcPr>
            <w:tcW w:w="63" w:type="dxa"/>
            <w:tcBorders/>
            <w:shd w:fill="CCEEFF" w:val="clear"/>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31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1,222,719</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1,605,231</w:t>
            </w:r>
          </w:p>
        </w:tc>
        <w:tc>
          <w:tcPr>
            <w:tcW w:w="63" w:type="dxa"/>
            <w:tcBorders/>
            <w:vAlign w:val="bottom"/>
          </w:tcPr>
          <w:p>
            <w:pPr>
              <w:pStyle w:val="TableContents"/>
              <w:bidi w:val="0"/>
              <w:spacing w:before="0" w:after="283"/>
              <w:jc w:val="left"/>
              <w:rPr/>
            </w:pPr>
            <w:r>
              <w:rPr/>
              <w:t> </w:t>
            </w:r>
          </w:p>
        </w:tc>
      </w:tr>
      <w:tr>
        <w:trPr/>
        <w:tc>
          <w:tcPr>
            <w:tcW w:w="731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pStyle w:val="TextBody"/>
        <w:bidi w:val="0"/>
        <w:spacing w:before="240" w:after="0"/>
        <w:jc w:val="center"/>
        <w:rPr>
          <w:rFonts w:ascii="Times New Roman" w:hAnsi="Times New Roman"/>
          <w:b/>
          <w:sz w:val="20"/>
        </w:rPr>
      </w:pPr>
      <w:bookmarkStart w:id="8" w:name="ex99_2toc124768_2"/>
      <w:bookmarkEnd w:id="8"/>
      <w:r>
        <w:rPr>
          <w:rFonts w:ascii="Times New Roman" w:hAnsi="Times New Roman"/>
          <w:b/>
          <w:sz w:val="20"/>
        </w:rPr>
        <w:t xml:space="preserve">UNAUDITED CONDENSED CONSOLIDATED STATEMENTS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Earnings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73"/>
        <w:gridCol w:w="154"/>
        <w:gridCol w:w="60"/>
        <w:gridCol w:w="814"/>
        <w:gridCol w:w="155"/>
        <w:gridCol w:w="117"/>
        <w:gridCol w:w="60"/>
        <w:gridCol w:w="814"/>
        <w:gridCol w:w="158"/>
      </w:tblGrid>
      <w:tr>
        <w:trPr/>
        <w:tc>
          <w:tcPr>
            <w:tcW w:w="7873"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7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b/>
              </w:rPr>
            </w:pPr>
            <w:r>
              <w:rPr>
                <w:b/>
              </w:rPr>
              <w:t>US$</w:t>
            </w:r>
          </w:p>
        </w:tc>
        <w:tc>
          <w:tcPr>
            <w:tcW w:w="158" w:type="dxa"/>
            <w:tcBorders/>
            <w:vAlign w:val="bottom"/>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365,167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793,106</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192,113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405,629</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173,054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387,477</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113,173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190,894</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14,208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26,352</w:t>
            </w:r>
          </w:p>
        </w:tc>
        <w:tc>
          <w:tcPr>
            <w:tcW w:w="158" w:type="dxa"/>
            <w:tcBorders/>
            <w:vAlign w:val="bottom"/>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13,578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16,913</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140,959</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234,159</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32,095</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153,318</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holding gain on investment</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2,245</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96,432</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5,635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3,109</w:t>
            </w:r>
          </w:p>
        </w:tc>
        <w:tc>
          <w:tcPr>
            <w:tcW w:w="158" w:type="dxa"/>
            <w:tcBorders/>
            <w:vAlign w:val="bottom"/>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(102</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loss, net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(2,929</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(365</w:t>
            </w:r>
          </w:p>
        </w:tc>
        <w:tc>
          <w:tcPr>
            <w:tcW w:w="158" w:type="dxa"/>
            <w:tcBorders/>
            <w:vAlign w:val="bottom"/>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54</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income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4,952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99,128</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37,047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252,446</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1,273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49,535</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35,774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202,911</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ORDINARY SHARE: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1.50</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0.27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1.49</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 OUTSTANDING</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Basic (Thousands)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134,382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135,171</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(Thousands)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134,724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136,026</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ADS (one ADS equals four ordinary shares):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6.00</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5.97</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ADS OUTSTANDING</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Basic (Thousands)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33,596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33,793</w:t>
            </w:r>
          </w:p>
        </w:tc>
        <w:tc>
          <w:tcPr>
            <w:tcW w:w="158" w:type="dxa"/>
            <w:tcBorders/>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(Thousands)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33,681</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34,006</w:t>
            </w:r>
          </w:p>
        </w:tc>
        <w:tc>
          <w:tcPr>
            <w:tcW w:w="158" w:type="dxa"/>
            <w:tcBorders/>
            <w:shd w:fill="CCEEFF" w:val="clear"/>
            <w:vAlign w:val="bottom"/>
          </w:tcPr>
          <w:p>
            <w:pPr>
              <w:pStyle w:val="TableContents"/>
              <w:bidi w:val="0"/>
              <w:spacing w:before="0" w:after="283"/>
              <w:jc w:val="left"/>
              <w:rPr/>
            </w:pPr>
            <w:r>
              <w:rPr/>
              <w:t> </w:t>
            </w:r>
          </w:p>
        </w:tc>
      </w:tr>
      <w:tr>
        <w:trPr/>
        <w:tc>
          <w:tcPr>
            <w:tcW w:w="787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pStyle w:val="TextBody"/>
        <w:bidi w:val="0"/>
        <w:spacing w:before="240" w:after="0"/>
        <w:jc w:val="center"/>
        <w:rPr>
          <w:rFonts w:ascii="Times New Roman" w:hAnsi="Times New Roman"/>
          <w:b/>
          <w:sz w:val="20"/>
        </w:rPr>
      </w:pPr>
      <w:bookmarkStart w:id="9" w:name="ex99_2toc124768_3"/>
      <w:bookmarkEnd w:id="9"/>
      <w:r>
        <w:rPr>
          <w:rFonts w:ascii="Times New Roman" w:hAnsi="Times New Roman"/>
          <w:b/>
          <w:sz w:val="20"/>
        </w:rPr>
        <w:t xml:space="preserve">UNAUDITED CONDENSED 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64"/>
        <w:gridCol w:w="144"/>
        <w:gridCol w:w="60"/>
        <w:gridCol w:w="682"/>
        <w:gridCol w:w="60"/>
        <w:gridCol w:w="145"/>
        <w:gridCol w:w="60"/>
        <w:gridCol w:w="828"/>
        <w:gridCol w:w="62"/>
      </w:tblGrid>
      <w:tr>
        <w:trPr/>
        <w:tc>
          <w:tcPr>
            <w:tcW w:w="8164"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835"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62" w:type="dxa"/>
            <w:tcBorders/>
            <w:vAlign w:val="bottom"/>
          </w:tcPr>
          <w:p>
            <w:pPr>
              <w:pStyle w:val="TableContents"/>
              <w:bidi w:val="0"/>
              <w:spacing w:before="0" w:after="283"/>
              <w:jc w:val="left"/>
              <w:rPr/>
            </w:pPr>
            <w:r>
              <w:rPr/>
              <w:t> </w:t>
            </w:r>
          </w:p>
        </w:tc>
      </w:tr>
      <w:tr>
        <w:trPr/>
        <w:tc>
          <w:tcPr>
            <w:tcW w:w="8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2" w:type="dxa"/>
            <w:tcBorders/>
            <w:vAlign w:val="bottom"/>
          </w:tcPr>
          <w:p>
            <w:pPr>
              <w:pStyle w:val="TableContents"/>
              <w:bidi w:val="0"/>
              <w:spacing w:before="0" w:after="283"/>
              <w:jc w:val="left"/>
              <w:rPr/>
            </w:pPr>
            <w:r>
              <w:rPr/>
              <w:t> </w:t>
            </w:r>
          </w:p>
        </w:tc>
      </w:tr>
      <w:tr>
        <w:trPr/>
        <w:tc>
          <w:tcPr>
            <w:tcW w:w="8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42"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center"/>
              <w:rPr>
                <w:b/>
              </w:rPr>
            </w:pPr>
            <w:r>
              <w:rPr>
                <w:b/>
              </w:rPr>
              <w:t>US$</w:t>
            </w:r>
          </w:p>
        </w:tc>
        <w:tc>
          <w:tcPr>
            <w:tcW w:w="62" w:type="dxa"/>
            <w:tcBorders/>
            <w:vAlign w:val="bottom"/>
          </w:tcPr>
          <w:p>
            <w:pPr>
              <w:pStyle w:val="TableContents"/>
              <w:bidi w:val="0"/>
              <w:spacing w:before="0" w:after="283"/>
              <w:jc w:val="left"/>
              <w:rPr/>
            </w:pPr>
            <w:r>
              <w:rPr/>
              <w:t> </w:t>
            </w:r>
          </w:p>
        </w:tc>
      </w:tr>
      <w:tr>
        <w:trPr/>
        <w:tc>
          <w:tcPr>
            <w:tcW w:w="8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35,774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202,911</w:t>
            </w:r>
          </w:p>
        </w:tc>
        <w:tc>
          <w:tcPr>
            <w:tcW w:w="62" w:type="dxa"/>
            <w:tcBorders/>
            <w:shd w:fill="CCEEFF" w:val="clear"/>
            <w:vAlign w:val="bottom"/>
          </w:tcPr>
          <w:p>
            <w:pPr>
              <w:pStyle w:val="TableContents"/>
              <w:bidi w:val="0"/>
              <w:spacing w:before="0" w:after="283"/>
              <w:jc w:val="left"/>
              <w:rPr/>
            </w:pPr>
            <w:r>
              <w:rPr/>
              <w:t> </w:t>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NET OF TAX EFFECT OF NIL</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net foreign currency translation adjustments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238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1,947</w:t>
            </w:r>
          </w:p>
        </w:tc>
        <w:tc>
          <w:tcPr>
            <w:tcW w:w="62" w:type="dxa"/>
            <w:tcBorders/>
            <w:shd w:fill="CCEEFF" w:val="clear"/>
            <w:vAlign w:val="bottom"/>
          </w:tcPr>
          <w:p>
            <w:pPr>
              <w:pStyle w:val="TableContents"/>
              <w:bidi w:val="0"/>
              <w:spacing w:before="0" w:after="283"/>
              <w:jc w:val="left"/>
              <w:rPr/>
            </w:pPr>
            <w:r>
              <w:rPr/>
              <w:t> </w:t>
            </w:r>
          </w:p>
        </w:tc>
      </w:tr>
      <w:tr>
        <w:trPr/>
        <w:tc>
          <w:tcPr>
            <w:tcW w:w="8164"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238</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1,947</w:t>
            </w:r>
          </w:p>
        </w:tc>
        <w:tc>
          <w:tcPr>
            <w:tcW w:w="62" w:type="dxa"/>
            <w:tcBorders/>
            <w:vAlign w:val="bottom"/>
          </w:tcPr>
          <w:p>
            <w:pPr>
              <w:pStyle w:val="TableContents"/>
              <w:bidi w:val="0"/>
              <w:spacing w:before="0" w:after="283"/>
              <w:jc w:val="left"/>
              <w:rPr/>
            </w:pPr>
            <w:r>
              <w:rPr/>
              <w:t> </w:t>
            </w:r>
          </w:p>
        </w:tc>
      </w:tr>
      <w:tr>
        <w:trPr/>
        <w:tc>
          <w:tcPr>
            <w:tcW w:w="8164"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36,012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204,858</w:t>
            </w:r>
          </w:p>
        </w:tc>
        <w:tc>
          <w:tcPr>
            <w:tcW w:w="62" w:type="dxa"/>
            <w:tcBorders/>
            <w:shd w:fill="CCEEFF" w:val="clear"/>
            <w:vAlign w:val="bottom"/>
          </w:tcPr>
          <w:p>
            <w:pPr>
              <w:pStyle w:val="TableContents"/>
              <w:bidi w:val="0"/>
              <w:spacing w:before="0" w:after="283"/>
              <w:jc w:val="left"/>
              <w:rPr/>
            </w:pPr>
            <w:r>
              <w:rPr/>
              <w:t> </w:t>
            </w:r>
          </w:p>
        </w:tc>
      </w:tr>
      <w:tr>
        <w:trPr/>
        <w:tc>
          <w:tcPr>
            <w:tcW w:w="8164"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pStyle w:val="TextBody"/>
        <w:bidi w:val="0"/>
        <w:spacing w:before="240" w:after="0"/>
        <w:jc w:val="center"/>
        <w:rPr>
          <w:rFonts w:ascii="Times New Roman" w:hAnsi="Times New Roman"/>
          <w:b/>
          <w:sz w:val="20"/>
        </w:rPr>
      </w:pPr>
      <w:bookmarkStart w:id="10" w:name="ex99_2toc124768_4"/>
      <w:bookmarkEnd w:id="10"/>
      <w:r>
        <w:rPr>
          <w:rFonts w:ascii="Times New Roman" w:hAnsi="Times New Roman"/>
          <w:b/>
          <w:sz w:val="20"/>
        </w:rPr>
        <w:t xml:space="preserve">UNAUDITED CONDENSED CONSOLIDATED STATEMENTS OF CHANGES IN SHAREHOLDERS’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10765" w:type="dxa"/>
        <w:jc w:val="center"/>
        <w:tblInd w:w="0" w:type="dxa"/>
        <w:tblLayout w:type="fixed"/>
        <w:tblCellMar>
          <w:top w:w="0" w:type="dxa"/>
          <w:left w:w="0" w:type="dxa"/>
          <w:bottom w:w="0" w:type="dxa"/>
          <w:right w:w="0" w:type="dxa"/>
        </w:tblCellMar>
      </w:tblPr>
      <w:tblGrid>
        <w:gridCol w:w="1250"/>
        <w:gridCol w:w="120"/>
        <w:gridCol w:w="78"/>
        <w:gridCol w:w="1052"/>
        <w:gridCol w:w="155"/>
        <w:gridCol w:w="60"/>
        <w:gridCol w:w="83"/>
        <w:gridCol w:w="777"/>
        <w:gridCol w:w="155"/>
        <w:gridCol w:w="60"/>
        <w:gridCol w:w="76"/>
        <w:gridCol w:w="1024"/>
        <w:gridCol w:w="155"/>
        <w:gridCol w:w="60"/>
        <w:gridCol w:w="155"/>
        <w:gridCol w:w="1455"/>
        <w:gridCol w:w="60"/>
        <w:gridCol w:w="120"/>
        <w:gridCol w:w="66"/>
        <w:gridCol w:w="884"/>
        <w:gridCol w:w="155"/>
        <w:gridCol w:w="60"/>
        <w:gridCol w:w="71"/>
        <w:gridCol w:w="894"/>
        <w:gridCol w:w="155"/>
        <w:gridCol w:w="60"/>
        <w:gridCol w:w="79"/>
        <w:gridCol w:w="1291"/>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center"/>
              <w:rPr>
                <w:b/>
              </w:rPr>
            </w:pPr>
            <w:r>
              <w:rPr>
                <w:b/>
              </w:rPr>
              <w:t>Accumulated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center"/>
              <w:rPr>
                <w:b/>
              </w:rPr>
            </w:pPr>
            <w:r>
              <w:rPr>
                <w:b/>
              </w:rPr>
              <w:t>Additional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Ordinary Share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center"/>
              <w:rPr>
                <w:b/>
              </w:rPr>
            </w:pPr>
            <w:r>
              <w:rPr>
                <w:b/>
              </w:rPr>
              <w:t>Paid-in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center"/>
              <w:rPr>
                <w:b/>
              </w:rPr>
            </w:pPr>
            <w:r>
              <w:rPr>
                <w:b/>
              </w:rPr>
              <w:t>Comprehensive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center"/>
              <w:rPr>
                <w:b/>
              </w:rPr>
            </w:pPr>
            <w:r>
              <w:rPr>
                <w:b/>
              </w:rPr>
              <w:t>Retained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center"/>
              <w:rPr>
                <w:b/>
              </w:rPr>
            </w:pPr>
            <w:r>
              <w:rPr>
                <w:b/>
              </w:rPr>
              <w:t>Treasury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Shareholders’</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 (Loss)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b/>
              </w:rPr>
            </w:pPr>
            <w:r>
              <w:rPr>
                <w:b/>
              </w:rPr>
              <w:t>(thousands)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2024</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134,764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1,348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337,975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432,623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772,284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35,774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35,774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4,986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4,986</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ordinary shares upon exercise of restricted stock units</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(24,312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(24,312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retired</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(1,705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(4,299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(19,996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24,312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Dividend adjustments (US$0.50 per ordinary share)</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4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JUNE 30, 2025</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134,229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1,342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338,630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448,393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788,941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4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BALANCE, DECEMBER 31, 2025</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134,245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359,927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1,339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468,129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830,737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202,911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202,911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1,947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1,947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11,792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11,792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ordinary shares upon exercise of restricted stock units</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adjustments (US$0.50 per ordinary share)</w:t>
            </w:r>
          </w:p>
        </w:tc>
        <w:tc>
          <w:tcPr>
            <w:tcW w:w="12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(515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4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BALANCE, JUNE 30, 2026</w:t>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135,631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1,356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371,681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3,286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670,525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1,046,848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4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pStyle w:val="TextBody"/>
        <w:bidi w:val="0"/>
        <w:spacing w:before="240" w:after="0"/>
        <w:jc w:val="center"/>
        <w:rPr>
          <w:rFonts w:ascii="Times New Roman" w:hAnsi="Times New Roman"/>
          <w:b/>
          <w:sz w:val="20"/>
        </w:rPr>
      </w:pPr>
      <w:bookmarkStart w:id="11" w:name="ex99_2toc124768_5"/>
      <w:bookmarkEnd w:id="11"/>
      <w:r>
        <w:rPr>
          <w:rFonts w:ascii="Times New Roman" w:hAnsi="Times New Roman"/>
          <w:b/>
          <w:sz w:val="20"/>
        </w:rPr>
        <w:t xml:space="preserve">UNAUDITED 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78"/>
        <w:gridCol w:w="152"/>
        <w:gridCol w:w="60"/>
        <w:gridCol w:w="800"/>
        <w:gridCol w:w="155"/>
        <w:gridCol w:w="116"/>
        <w:gridCol w:w="60"/>
        <w:gridCol w:w="925"/>
        <w:gridCol w:w="159"/>
      </w:tblGrid>
      <w:tr>
        <w:trPr/>
        <w:tc>
          <w:tcPr>
            <w:tcW w:w="7778"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7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16"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9" w:type="dxa"/>
            <w:tcBorders/>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35,774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202,911</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14,670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18,227</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holding gain on investment</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(2,245</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(96,432</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4,986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11,792</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property and equipment</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15</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1,688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18,158</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12,820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(112,092</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(45,651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(245,600</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(10,285</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(1,302</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Notes and accounts payable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19,682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68,592</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Refund liabilities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8,485</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(8,411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21,353</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1,472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(139</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2,805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15,543</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(4,244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5,769</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32,998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(95,005</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(27,212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(25,954</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disposal of properties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87</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(27,199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(25,867</w:t>
            </w:r>
          </w:p>
        </w:tc>
        <w:tc>
          <w:tcPr>
            <w:tcW w:w="159" w:type="dxa"/>
            <w:tcBorders/>
            <w:vAlign w:val="bottom"/>
          </w:tcPr>
          <w:p>
            <w:pPr>
              <w:pStyle w:val="TableContents"/>
              <w:bidi w:val="0"/>
              <w:spacing w:before="0" w:after="283"/>
              <w:jc w:val="left"/>
              <w:rPr/>
            </w:pPr>
            <w:r>
              <w:rPr/>
              <w:t>) </w:t>
            </w:r>
          </w:p>
        </w:tc>
      </w:tr>
      <w:tr>
        <w:trPr/>
        <w:tc>
          <w:tcPr>
            <w:tcW w:w="10046" w:type="dxa"/>
            <w:gridSpan w:val="8"/>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59" w:type="dxa"/>
            <w:tcBorders/>
            <w:shd w:fill="CCEEFF" w:val="clear"/>
          </w:tcPr>
          <w:p>
            <w:pPr>
              <w:pStyle w:val="TableContents"/>
              <w:bidi w:val="0"/>
              <w:spacing w:before="0" w:after="0"/>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(33,702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(33,840</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bank loan</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59,183</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(24,312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(58,014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25,343</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(52,215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(95,529</w:t>
            </w:r>
          </w:p>
        </w:tc>
        <w:tc>
          <w:tcPr>
            <w:tcW w:w="159" w:type="dxa"/>
            <w:tcBorders/>
            <w:vAlign w:val="bottom"/>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250</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334,333</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277,081</w:t>
            </w:r>
          </w:p>
        </w:tc>
        <w:tc>
          <w:tcPr>
            <w:tcW w:w="159" w:type="dxa"/>
            <w:tcBorders/>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282,279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181,802</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INFORMATION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1,148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11,312</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8" w:type="dxa"/>
            <w:tcBorders/>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Unpaid purchase of property and equipment included in accounts payable and accrued liabilities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12,894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15,619</w:t>
            </w:r>
          </w:p>
        </w:tc>
        <w:tc>
          <w:tcPr>
            <w:tcW w:w="159" w:type="dxa"/>
            <w:tcBorders/>
            <w:shd w:fill="CCEEFF" w:val="clear"/>
            <w:vAlign w:val="bottom"/>
          </w:tcPr>
          <w:p>
            <w:pPr>
              <w:pStyle w:val="TableContents"/>
              <w:bidi w:val="0"/>
              <w:spacing w:before="0" w:after="283"/>
              <w:jc w:val="left"/>
              <w:rPr/>
            </w:pPr>
            <w:r>
              <w:rPr/>
              <w:t> </w:t>
            </w:r>
          </w:p>
        </w:tc>
      </w:tr>
      <w:tr>
        <w:trPr/>
        <w:tc>
          <w:tcPr>
            <w:tcW w:w="777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pStyle w:val="TextBody"/>
        <w:bidi w:val="0"/>
        <w:spacing w:before="240" w:after="0"/>
        <w:jc w:val="center"/>
        <w:rPr>
          <w:rFonts w:ascii="Times New Roman" w:hAnsi="Times New Roman"/>
          <w:b/>
          <w:sz w:val="20"/>
        </w:rPr>
      </w:pPr>
      <w:bookmarkStart w:id="12" w:name="ex99_2toc124768_6"/>
      <w:bookmarkEnd w:id="12"/>
      <w:r>
        <w:rPr>
          <w:rFonts w:ascii="Times New Roman" w:hAnsi="Times New Roman"/>
          <w:b/>
          <w:sz w:val="20"/>
        </w:rPr>
        <w:t xml:space="preserve">NOTES TO UNAUDITED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Unless Stated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Technology Corporation (“SMTC”, collectively with its subsidiaries as the “Company”) is the global leader in supplying NAND flash controllers for solid state storage devices. The Company is a world leading supplier of SSD controllers for servers, PCs and other client devices and is a leading merchant supplier of eMMC and UFS embedded storage controllers used in smartphones, IoT devices and other applications. The Company also supplies customized high-performance and specialized industrial and automotive SSD solutions. Our customers include most of the NAND flash vendors, storage device module makers and leading OEMs. For further information on SMTC, visit us at www.siliconmotion.com.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accounting principles generally accepted in the United States of America (“U.S. GAAP”), and in our opinion, include all adjustments of a normal recurring nature necessary for fair financial statement presentation. Interim results are not necessarily indicative of the results to be expected for the full year ending December 31, 2026. The consolidated financial statements include the accounts of SMTC and its wholly-owned subsidiaries. The Company owns 100% of the outstanding shares in all of its subsidiaries. All significant intercompany balances and transactions have been eliminated upon consolidation. These consolidated financial statements and other information presented in this Form 6-K should be read in conjunction with the consolidated financial statements and the related notes included in our Annual Report on Form 20-F for the fiscal year ended December 31, 2025 filed with the SEC. </w:t>
      </w:r>
    </w:p>
    <w:p>
      <w:pPr>
        <w:pStyle w:val="TextBody"/>
        <w:bidi w:val="0"/>
        <w:spacing w:before="24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certain reported amounts and disclosures. The actual results could differ from those estimates.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Concentration of Credit Risk and Significant Customers </w:t>
      </w:r>
    </w:p>
    <w:p>
      <w:pPr>
        <w:pStyle w:val="TextBody"/>
        <w:bidi w:val="0"/>
        <w:spacing w:before="240" w:after="0"/>
        <w:jc w:val="left"/>
        <w:rPr>
          <w:rFonts w:ascii="Times New Roman" w:hAnsi="Times New Roman"/>
          <w:sz w:val="20"/>
        </w:rPr>
      </w:pPr>
      <w:r>
        <w:rPr>
          <w:rFonts w:ascii="Times New Roman" w:hAnsi="Times New Roman"/>
          <w:sz w:val="20"/>
        </w:rPr>
        <w:t xml:space="preserve">Financial instruments that potentially subject the Company to a significant concentration of credit risk consist principally of cash equivalents and accounts receivable. Cash and cash equivalents are maintained with high quality financial institutions, the composition and maturities of which are regularly monitored by management. The Company believes that the concentration of credit risk in its accounts receivable is substantially mitigated by the Company’s credit evaluation process, relatively short collection terms and the high level of credit worthiness of its customers. The Company performs ongoing credit evaluations of its customers’ financial conditions and limits the amount of credit extended based upon the payment history and current credit worthiness of the customer. The Company regularly reviews the allowance for bad debt and doubtful accounts or expected losses during the accounts receivable collection process by considering factors, such as historical write-off and recovery experience, credit quality, age of the accounts receivable balances and current economic conditions that may affect a customer’s ability to pay. The Company also takes into account reasonable and supportable forecasts of future conditions when evaluating the adequacy of the allowance for doubtful accounts. </w:t>
      </w:r>
    </w:p>
    <w:p>
      <w:pPr>
        <w:pStyle w:val="TextBody"/>
        <w:bidi w:val="0"/>
        <w:spacing w:before="24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our net sales. Sales to four customers for the six months ended June 30, 2025 and two customers for the six months ended June 30, 2026 each accounted for 10% or more of our net revenue, representing 59% and 48% of our net sales for the six months ended June 30, 2025 and 2026, respectively. See Note 17 for more information about these significant customers. Furthermore, the Company’s top ten customers accounted for approximately 84% and 78% of net sales for the six months ended June 30, 2025 and 2026, respectively. </w:t>
      </w:r>
    </w:p>
    <w:p>
      <w:pPr>
        <w:pStyle w:val="TextBody"/>
        <w:bidi w:val="0"/>
        <w:spacing w:before="24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carrying amount of the Company’s financial instruments, including cash and cash equivalents, accounts receivable and notes and accounts payable, approximates fair value due to the short-term maturity of the instruments. Long-term investments in listed companies over which we do not exercise significant influence are recorded at fair value, and any changes in fair value are recognized in net income. The Company’s long-term liabilities approximate their fair values as they contain interest rates that vary according to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Fair value is the price that would be received upon sale of an asset or paid upon transfer of a liability in an orderly transaction between market participants at the measurement date and in the principal or most advantageous market for that assets or liability. The fair value should be calculated based on assumptions that market participants would use in pricing the asset or liability, not on assumptions specific to the Company. A three-tier fair value hierarchy is established as a basis for considering such assumptions and for inputs used in the valuation methodologies in measuring fair value.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 </w:t>
      </w:r>
    </w:p>
    <w:p>
      <w:pPr>
        <w:pStyle w:val="TextBody"/>
        <w:bidi w:val="0"/>
        <w:spacing w:before="240" w:after="0"/>
        <w:jc w:val="left"/>
        <w:rPr>
          <w:rFonts w:ascii="Times New Roman" w:hAnsi="Times New Roman"/>
          <w:sz w:val="20"/>
        </w:rPr>
      </w:pPr>
      <w:r>
        <w:rPr>
          <w:rFonts w:ascii="Times New Roman" w:hAnsi="Times New Roman"/>
          <w:sz w:val="20"/>
        </w:rPr>
        <w:t xml:space="preserve">Level 1 — Use unadjusted quoted prices in active markets for identical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2 — Use observable inputs other than Level 1 prices such as quoted prices for identical or similar instruments in markets that are not active, quoted prices for similar instruments in active markets, and model-based valuation in which all significant inputs are observable or can be corroborated by observable market data for substantially the full term of the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3 — Use inputs that are generally unobservable and reflect the use of significant management judgments and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tables below set forth, by level, the Company’s assets and liabilities that are measured at fair value on a recurring basis. The tables do not include assets and liabilities that are measured at historical cost or any basis other than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81"/>
        <w:gridCol w:w="265"/>
        <w:gridCol w:w="60"/>
        <w:gridCol w:w="886"/>
        <w:gridCol w:w="60"/>
        <w:gridCol w:w="265"/>
        <w:gridCol w:w="102"/>
        <w:gridCol w:w="654"/>
        <w:gridCol w:w="60"/>
        <w:gridCol w:w="265"/>
        <w:gridCol w:w="102"/>
        <w:gridCol w:w="653"/>
        <w:gridCol w:w="60"/>
        <w:gridCol w:w="265"/>
        <w:gridCol w:w="60"/>
        <w:gridCol w:w="886"/>
        <w:gridCol w:w="64"/>
      </w:tblGrid>
      <w:tr>
        <w:trPr/>
        <w:tc>
          <w:tcPr>
            <w:tcW w:w="4681"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43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June 30, 2026</w:t>
            </w:r>
          </w:p>
        </w:tc>
        <w:tc>
          <w:tcPr>
            <w:tcW w:w="64" w:type="dxa"/>
            <w:tcBorders/>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measured at fair value on a recurring basis:</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Marketable equity investments</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127,403</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127,403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17"/>
        <w:gridCol w:w="228"/>
        <w:gridCol w:w="101"/>
        <w:gridCol w:w="1175"/>
        <w:gridCol w:w="101"/>
        <w:gridCol w:w="301"/>
        <w:gridCol w:w="102"/>
        <w:gridCol w:w="656"/>
        <w:gridCol w:w="101"/>
        <w:gridCol w:w="301"/>
        <w:gridCol w:w="102"/>
        <w:gridCol w:w="655"/>
        <w:gridCol w:w="101"/>
        <w:gridCol w:w="301"/>
        <w:gridCol w:w="101"/>
        <w:gridCol w:w="1181"/>
        <w:gridCol w:w="64"/>
      </w:tblGrid>
      <w:tr>
        <w:trPr/>
        <w:tc>
          <w:tcPr>
            <w:tcW w:w="3817"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1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527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 December 31, 2025</w:t>
            </w:r>
          </w:p>
        </w:tc>
        <w:tc>
          <w:tcPr>
            <w:tcW w:w="64" w:type="dxa"/>
            <w:tcBorders/>
            <w:vAlign w:val="bottom"/>
          </w:tcPr>
          <w:p>
            <w:pPr>
              <w:pStyle w:val="TableContents"/>
              <w:bidi w:val="0"/>
              <w:spacing w:before="0" w:after="283"/>
              <w:jc w:val="left"/>
              <w:rPr/>
            </w:pPr>
            <w:r>
              <w:rPr/>
              <w:t> </w:t>
            </w:r>
          </w:p>
        </w:tc>
      </w:tr>
      <w:tr>
        <w:trPr/>
        <w:tc>
          <w:tcPr>
            <w:tcW w:w="381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6" w:type="dxa"/>
            <w:gridSpan w:val="2"/>
            <w:tcBorders/>
            <w:vAlign w:val="bottom"/>
          </w:tcPr>
          <w:p>
            <w:pPr>
              <w:pStyle w:val="TableContents"/>
              <w:bidi w:val="0"/>
              <w:spacing w:before="0" w:after="283"/>
              <w:jc w:val="center"/>
              <w:rPr>
                <w:b/>
              </w:rPr>
            </w:pPr>
            <w:r>
              <w:rPr>
                <w:b/>
              </w:rPr>
              <w:t>Level 1</w:t>
            </w:r>
          </w:p>
        </w:tc>
        <w:tc>
          <w:tcPr>
            <w:tcW w:w="10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58" w:type="dxa"/>
            <w:gridSpan w:val="2"/>
            <w:tcBorders/>
            <w:vAlign w:val="bottom"/>
          </w:tcPr>
          <w:p>
            <w:pPr>
              <w:pStyle w:val="TableContents"/>
              <w:bidi w:val="0"/>
              <w:spacing w:before="0" w:after="283"/>
              <w:jc w:val="center"/>
              <w:rPr>
                <w:b/>
              </w:rPr>
            </w:pPr>
            <w:r>
              <w:rPr>
                <w:b/>
              </w:rPr>
              <w:t>Level 2</w:t>
            </w:r>
          </w:p>
        </w:tc>
        <w:tc>
          <w:tcPr>
            <w:tcW w:w="10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57" w:type="dxa"/>
            <w:gridSpan w:val="2"/>
            <w:tcBorders/>
            <w:vAlign w:val="bottom"/>
          </w:tcPr>
          <w:p>
            <w:pPr>
              <w:pStyle w:val="TableContents"/>
              <w:bidi w:val="0"/>
              <w:spacing w:before="0" w:after="283"/>
              <w:jc w:val="center"/>
              <w:rPr>
                <w:b/>
              </w:rPr>
            </w:pPr>
            <w:r>
              <w:rPr>
                <w:b/>
              </w:rPr>
              <w:t>Level 3</w:t>
            </w:r>
          </w:p>
        </w:tc>
        <w:tc>
          <w:tcPr>
            <w:tcW w:w="10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82" w:type="dxa"/>
            <w:gridSpan w:val="2"/>
            <w:tcBorders/>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measured at fair value on a recurring basis:</w:t>
            </w:r>
          </w:p>
        </w:tc>
        <w:tc>
          <w:tcPr>
            <w:tcW w:w="2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6"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17" w:type="dxa"/>
            <w:tcBorders/>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2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6"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5"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17" w:type="dxa"/>
            <w:tcBorders/>
          </w:tcPr>
          <w:p>
            <w:pPr>
              <w:pStyle w:val="TableContents"/>
              <w:bidi w:val="0"/>
              <w:spacing w:before="0" w:after="0"/>
              <w:jc w:val="left"/>
              <w:rPr>
                <w:rFonts w:ascii="Times New Roman" w:hAnsi="Times New Roman"/>
                <w:sz w:val="20"/>
              </w:rPr>
            </w:pPr>
            <w:r>
              <w:rPr>
                <w:rFonts w:ascii="Times New Roman" w:hAnsi="Times New Roman"/>
                <w:sz w:val="20"/>
              </w:rPr>
              <w:t>Marketable equity investments</w:t>
            </w:r>
          </w:p>
        </w:tc>
        <w:tc>
          <w:tcPr>
            <w:tcW w:w="2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29,676</w:t>
            </w:r>
          </w:p>
        </w:tc>
        <w:tc>
          <w:tcPr>
            <w:tcW w:w="10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29,676</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stated at cost less accumulated depreciation. Significant additions, renewals and betterments are capitalized, while maintenance and repairs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Depreciation is computed using the straight-line method over estimated useful lives that range as follows: buildings —50 years; machinery and equipment — 2 to 6 years; furniture and fixtures — 3 to 8 years; software — 1 to 5 years; leasehold and buildings improvement — the shorter of the estimated useful life or lease term, which is generally 2 to 25 years. Land is not depreciated. Depreciation and amortization expense on property and equipment were approximately US$14,670 thousand and US$18,227 thousand for the six months ended June 30, 2025 and 2026, respectively. </w:t>
      </w:r>
    </w:p>
    <w:p>
      <w:pPr>
        <w:pStyle w:val="TextBody"/>
        <w:bidi w:val="0"/>
        <w:spacing w:before="24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determines its income tax provision for interim periods based on an estimated annual effective tax rate, adjusted for discrete tax items recognized in the applicable period. The estimated annual effective tax rate is reviewed and updated each interim reporting period, and any changes are recognized through a cumulative adjustment in the period of revision. The effective tax rate may vary due to changes in projected earnings, the jurisdictional mix of income, intercompany transactions, tax law changes, the applicability of special tax regimes, changes in business operations, discrete tax items, and acquisitions.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Comprehensive Income (Loss) </w:t>
      </w:r>
    </w:p>
    <w:p>
      <w:pPr>
        <w:pStyle w:val="TextBody"/>
        <w:bidi w:val="0"/>
        <w:spacing w:before="240" w:after="0"/>
        <w:jc w:val="left"/>
        <w:rPr>
          <w:rFonts w:ascii="Times New Roman" w:hAnsi="Times New Roman"/>
          <w:sz w:val="20"/>
        </w:rPr>
      </w:pPr>
      <w:r>
        <w:rPr>
          <w:rFonts w:ascii="Times New Roman" w:hAnsi="Times New Roman"/>
          <w:sz w:val="20"/>
        </w:rPr>
        <w:t xml:space="preserve">Comprehensive income (loss) represents net income (loss) plus the results of certain changes in shareholders’ equity during a period from non-owner sources. The following table presents the components of accumulated other comprehensive income (loss) for the six months ended June 30, 2025 and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5"/>
        <w:gridCol w:w="151"/>
        <w:gridCol w:w="93"/>
        <w:gridCol w:w="843"/>
        <w:gridCol w:w="60"/>
        <w:gridCol w:w="151"/>
        <w:gridCol w:w="93"/>
        <w:gridCol w:w="731"/>
        <w:gridCol w:w="155"/>
        <w:gridCol w:w="95"/>
        <w:gridCol w:w="208"/>
        <w:gridCol w:w="1334"/>
        <w:gridCol w:w="60"/>
        <w:gridCol w:w="150"/>
        <w:gridCol w:w="98"/>
        <w:gridCol w:w="838"/>
        <w:gridCol w:w="60"/>
        <w:gridCol w:w="151"/>
        <w:gridCol w:w="86"/>
        <w:gridCol w:w="738"/>
        <w:gridCol w:w="155"/>
        <w:gridCol w:w="95"/>
        <w:gridCol w:w="147"/>
        <w:gridCol w:w="1391"/>
        <w:gridCol w:w="67"/>
      </w:tblGrid>
      <w:tr>
        <w:trPr/>
        <w:tc>
          <w:tcPr>
            <w:tcW w:w="22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7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7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2026</w:t>
            </w:r>
          </w:p>
        </w:tc>
        <w:tc>
          <w:tcPr>
            <w:tcW w:w="67"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7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7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7"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Defined</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bidi w:val="0"/>
              <w:spacing w:before="0" w:after="283"/>
              <w:jc w:val="center"/>
              <w:rPr>
                <w:b/>
              </w:rPr>
            </w:pPr>
            <w:r>
              <w:rPr>
                <w:b/>
              </w:rPr>
              <w:t>Accumulated</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Defined</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bidi w:val="0"/>
              <w:spacing w:before="0" w:after="283"/>
              <w:jc w:val="center"/>
              <w:rPr>
                <w:b/>
              </w:rPr>
            </w:pPr>
            <w:r>
              <w:rPr>
                <w:b/>
              </w:rPr>
              <w:t>Accumulated</w:t>
            </w:r>
          </w:p>
        </w:tc>
        <w:tc>
          <w:tcPr>
            <w:tcW w:w="67"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Foreign</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Benefit</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Foreign</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benefit</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bidi w:val="0"/>
              <w:spacing w:before="0" w:after="283"/>
              <w:jc w:val="center"/>
              <w:rPr>
                <w:b/>
              </w:rPr>
            </w:pPr>
            <w:r>
              <w:rPr>
                <w:b/>
              </w:rPr>
              <w:t>other</w:t>
            </w:r>
          </w:p>
        </w:tc>
        <w:tc>
          <w:tcPr>
            <w:tcW w:w="67"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currency</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Pension</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bidi w:val="0"/>
              <w:spacing w:before="0" w:after="283"/>
              <w:jc w:val="center"/>
              <w:rPr>
                <w:b/>
              </w:rPr>
            </w:pPr>
            <w:r>
              <w:rPr>
                <w:b/>
              </w:rPr>
              <w:t>comprehensive</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currency</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pension</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bidi w:val="0"/>
              <w:spacing w:before="0" w:after="283"/>
              <w:jc w:val="center"/>
              <w:rPr>
                <w:b/>
              </w:rPr>
            </w:pPr>
            <w:r>
              <w:rPr>
                <w:b/>
              </w:rPr>
              <w:t>comprehensive</w:t>
            </w:r>
          </w:p>
        </w:tc>
        <w:tc>
          <w:tcPr>
            <w:tcW w:w="67"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items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Plans</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bidi w:val="0"/>
              <w:spacing w:before="0" w:after="283"/>
              <w:jc w:val="center"/>
              <w:rPr>
                <w:b/>
              </w:rPr>
            </w:pPr>
            <w:r>
              <w:rPr>
                <w:b/>
              </w:rPr>
              <w:t>income (loss)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items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plans</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bidi w:val="0"/>
              <w:spacing w:before="0" w:after="283"/>
              <w:jc w:val="center"/>
              <w:rPr>
                <w:b/>
              </w:rPr>
            </w:pPr>
            <w:r>
              <w:rPr>
                <w:b/>
              </w:rPr>
              <w:t>income (loss)</w:t>
            </w:r>
          </w:p>
        </w:tc>
        <w:tc>
          <w:tcPr>
            <w:tcW w:w="67"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5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1,408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(1,070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338</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2,409</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(1,070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1,339</w:t>
            </w:r>
          </w:p>
        </w:tc>
        <w:tc>
          <w:tcPr>
            <w:tcW w:w="67"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Current-period change</w:t>
            </w:r>
          </w:p>
        </w:tc>
        <w:tc>
          <w:tcPr>
            <w:tcW w:w="15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238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238</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1,947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1,947</w:t>
            </w:r>
          </w:p>
        </w:tc>
        <w:tc>
          <w:tcPr>
            <w:tcW w:w="67"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5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1,646</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(1,070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4,356</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(1,070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3,286</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Earnings Per Share </w:t>
      </w:r>
    </w:p>
    <w:p>
      <w:pPr>
        <w:pStyle w:val="TextBody"/>
        <w:bidi w:val="0"/>
        <w:spacing w:before="240" w:after="0"/>
        <w:jc w:val="left"/>
        <w:rPr>
          <w:rFonts w:ascii="Times New Roman" w:hAnsi="Times New Roman"/>
          <w:sz w:val="20"/>
        </w:rPr>
      </w:pPr>
      <w:r>
        <w:rPr>
          <w:rFonts w:ascii="Times New Roman" w:hAnsi="Times New Roman"/>
          <w:sz w:val="20"/>
        </w:rPr>
        <w:t xml:space="preserve">Basic earnings per share are computed by dividing net earnings attributable to ordinary shareholders by the weighted-average number of ordinary shares outstanding during the period. Diluted earnings per share are computed by dividing net income attributable to ordinary shareholders by the weighted-average number of ordinary shares and potentially dilutive shares of ordinary shares outstanding during the period. Dilutive shares outstanding include unvested restricted stock units (“RSUs”). Dilutive securities are excluded from the computation of the diluted income per share in periods when their effect is anti-dilutive. The effect of dilutive securities of restricted stock units were 342 thousand shares (85 thousand ADSs) and 855 thousand shares (213 thousand ADSs) for the six months ended June 30, 2025 and 2026, respectively. </w:t>
      </w:r>
    </w:p>
    <w:p>
      <w:pPr>
        <w:pStyle w:val="TextBody"/>
        <w:bidi w:val="0"/>
        <w:spacing w:before="24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240" w:after="0"/>
        <w:jc w:val="left"/>
        <w:rPr>
          <w:rFonts w:ascii="Times New Roman" w:hAnsi="Times New Roman"/>
          <w:sz w:val="20"/>
        </w:rPr>
      </w:pPr>
      <w:r>
        <w:rPr>
          <w:rFonts w:ascii="Times New Roman" w:hAnsi="Times New Roman"/>
          <w:i/>
          <w:sz w:val="20"/>
        </w:rPr>
        <w:t>Accounting Pronouncements Recently Adopted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July 2025, the Financial Accounting Standards Board (FASB) issued an accounting standard update (ASU), </w:t>
      </w:r>
      <w:r>
        <w:rPr>
          <w:rFonts w:ascii="Times New Roman" w:hAnsi="Times New Roman"/>
          <w:i/>
          <w:sz w:val="20"/>
        </w:rPr>
        <w:t>ASU 2025-05, Financial Instruments— Credit Losses (Topic 326): Measurement of Credit Losses for Accounts Receivable and Contract Assets</w:t>
      </w:r>
      <w:r>
        <w:rPr>
          <w:rFonts w:ascii="Times New Roman" w:hAnsi="Times New Roman"/>
          <w:sz w:val="20"/>
        </w:rPr>
        <w:t xml:space="preserve">. In developing reasonable and supportable forecasts as part of estimating expected credit losses, all entities may elect a practical expedient that assumes that current conditions as of the balance sheet date do not change for the remaining life of the asset. The amendments in this ASU should be applied prospectively. The amendments are effective for fiscal years beginning after December 15, 2025, and interim periods within those fiscal periods. The adoption of this amendment did not have a material impact on the Company’s condensed consolidated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Accounting Pronouncements Not Yet Effective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Financial Accounting Standards Board (FASB) issued an accounting standard update (ASU), </w:t>
      </w:r>
      <w:r>
        <w:rPr>
          <w:rFonts w:ascii="Times New Roman" w:hAnsi="Times New Roman"/>
          <w:i/>
          <w:sz w:val="20"/>
        </w:rPr>
        <w:t>ASU 2023-06, Disclosure Improvements: Codification Amendments in Response to the SEC’s Disclosure Update and Simplification Initiative</w:t>
      </w:r>
      <w:r>
        <w:rPr>
          <w:rFonts w:ascii="Times New Roman" w:hAnsi="Times New Roman"/>
          <w:sz w:val="20"/>
        </w:rPr>
        <w:t xml:space="preserve">, to amend certain disclosure and presentation requirements for a variety of topics within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adoption of this amendment is not expected to have a material impact on the Company’s future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Financial Accounting Standards Board (FASB) issued an accounting standard update (ASU), </w:t>
      </w:r>
      <w:r>
        <w:rPr>
          <w:rFonts w:ascii="Times New Roman" w:hAnsi="Times New Roman"/>
          <w:i/>
          <w:sz w:val="20"/>
        </w:rPr>
        <w:t>ASU 2024-03, Income Statement—Reporting Comprehensive Income—Expense Disaggregation Disclosures (Subtopic 220-40): Disaggregation of Income Statement Expenses</w:t>
      </w:r>
      <w:r>
        <w:rPr>
          <w:rFonts w:ascii="Times New Roman" w:hAnsi="Times New Roman"/>
          <w:sz w:val="20"/>
        </w:rPr>
        <w:t xml:space="preserve">, which requires disaggregated disclosure of income statement expenses for public business entities. The ASU does not change or remove existing expense disclosure requirements. The ASU also does not change the expense captions an entity presents on the face of the income statement; rather, it requires disaggregation of certain expense captions into specified categories in disclosures within the footnotes to the financial statements. In January 2025, the FASB issued ASU 2025-01, Income Statement—Reporting Comprehensive Income—Expense Disaggregation Disclosures (Subtopic 220-40): Clarifying the Effective Date, to clarify the effective date of ASU 2024-03. This guidance is effective for fiscal years beginning after December 15, 2026, and interim periods within fiscal years beginning after December 15, 2027. Early adoption is permitted. The Company is currently evaluating the provisions of the amendments and the effect on its future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Financial Accounting Standards Board (FASB) issued an accounting standard update (ASU), </w:t>
      </w:r>
      <w:r>
        <w:rPr>
          <w:rFonts w:ascii="Times New Roman" w:hAnsi="Times New Roman"/>
          <w:i/>
          <w:sz w:val="20"/>
        </w:rPr>
        <w:t>ASU 2025-10</w:t>
      </w:r>
      <w:r>
        <w:rPr>
          <w:rFonts w:ascii="Times New Roman" w:hAnsi="Times New Roman"/>
          <w:sz w:val="20"/>
        </w:rPr>
        <w:t xml:space="preserve">, </w:t>
      </w:r>
      <w:r>
        <w:rPr>
          <w:rFonts w:ascii="Times New Roman" w:hAnsi="Times New Roman"/>
          <w:i/>
          <w:sz w:val="20"/>
        </w:rPr>
        <w:t>Government Grants (Topic 832): Accounting for Government Grants Received by Business Entities</w:t>
      </w:r>
      <w:r>
        <w:rPr>
          <w:rFonts w:ascii="Times New Roman" w:hAnsi="Times New Roman"/>
          <w:sz w:val="20"/>
        </w:rPr>
        <w:t xml:space="preserve">, which adds guidance to ASC 832 on the recognition, measurement, and presentation of government grants. The amendments are effective for fiscal years beginning after December 15, 2028, and interim periods within those fiscal periods. Early adoption is permitted. The adoption of this amendment is not expected to have a material impact on the Company’s future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Financial Accounting Standards Board (FASB) issued an accounting standard update (ASU), </w:t>
      </w:r>
      <w:r>
        <w:rPr>
          <w:rFonts w:ascii="Times New Roman" w:hAnsi="Times New Roman"/>
          <w:i/>
          <w:sz w:val="20"/>
        </w:rPr>
        <w:t>Interim Reporting (Topic 270): Narrow-Scope Improvements</w:t>
      </w:r>
      <w:r>
        <w:rPr>
          <w:rFonts w:ascii="Times New Roman" w:hAnsi="Times New Roman"/>
          <w:sz w:val="20"/>
        </w:rPr>
        <w:t xml:space="preserve">,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The amendments are not intended to change the fundamental nature of interim reporting or expand or reduce current interim disclosure requirements. The amendments are effective for interim reporting periods within fiscal years beginning after December 15, 2027. Early adoption is permitted and can be applied either (1) prospectively or (2) retrospectively to any or all prior periods presented in the financial statements. The Company is currently evaluating the impact that the adoption will have on its future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Financial Accounting Standards Board (FASB) issued an accounting standard update (ASU), </w:t>
      </w:r>
      <w:r>
        <w:rPr>
          <w:rFonts w:ascii="Times New Roman" w:hAnsi="Times New Roman"/>
          <w:i/>
          <w:sz w:val="20"/>
        </w:rPr>
        <w:t>ASU 2025-12</w:t>
      </w:r>
      <w:r>
        <w:rPr>
          <w:rFonts w:ascii="Times New Roman" w:hAnsi="Times New Roman"/>
          <w:sz w:val="20"/>
        </w:rPr>
        <w:t xml:space="preserve">, </w:t>
      </w:r>
      <w:r>
        <w:rPr>
          <w:rFonts w:ascii="Times New Roman" w:hAnsi="Times New Roman"/>
          <w:i/>
          <w:sz w:val="20"/>
        </w:rPr>
        <w:t>Codification Improvements</w:t>
      </w:r>
      <w:r>
        <w:rPr>
          <w:rFonts w:ascii="Times New Roman" w:hAnsi="Times New Roman"/>
          <w:sz w:val="20"/>
        </w:rPr>
        <w:t xml:space="preserve">, as part of the standing project on its agenda to make improvements to the Codification in response to feedback from stakeholders. The amendments make Codification updates to a broad range of Topics arising from technical corrections, unintended application of the Codification, clarifications, and other minor improvements. The amendments in this ASU are effective for fiscal years beginning after December 15, 2026, and interim reporting periods within those fiscal years. Early adoption is permitted. The Company is currently evaluating the impact that the adoption will have on its future condensed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3. CASH, CASH EQUIVALENTS, AND RESTRICTED CASH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9"/>
        <w:gridCol w:w="296"/>
        <w:gridCol w:w="98"/>
        <w:gridCol w:w="1335"/>
        <w:gridCol w:w="60"/>
        <w:gridCol w:w="296"/>
        <w:gridCol w:w="61"/>
        <w:gridCol w:w="828"/>
        <w:gridCol w:w="62"/>
      </w:tblGrid>
      <w:tr>
        <w:trPr/>
        <w:tc>
          <w:tcPr>
            <w:tcW w:w="4719"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1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2"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33"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center"/>
              <w:rPr>
                <w:b/>
              </w:rPr>
            </w:pPr>
            <w:r>
              <w:rPr>
                <w:b/>
              </w:rPr>
              <w:t>US$</w:t>
            </w:r>
          </w:p>
        </w:tc>
        <w:tc>
          <w:tcPr>
            <w:tcW w:w="62"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deposits in bank</w:t>
            </w:r>
          </w:p>
        </w:tc>
        <w:tc>
          <w:tcPr>
            <w:tcW w:w="29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54,964</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61,056</w:t>
            </w:r>
          </w:p>
        </w:tc>
        <w:tc>
          <w:tcPr>
            <w:tcW w:w="62" w:type="dxa"/>
            <w:tcBorders/>
            <w:shd w:fill="CCEEFF" w:val="clear"/>
            <w:vAlign w:val="bottom"/>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Time deposits</w:t>
            </w:r>
          </w:p>
        </w:tc>
        <w:tc>
          <w:tcPr>
            <w:tcW w:w="29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143,375</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13,311</w:t>
            </w:r>
          </w:p>
        </w:tc>
        <w:tc>
          <w:tcPr>
            <w:tcW w:w="62"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agreements</w:t>
            </w:r>
          </w:p>
        </w:tc>
        <w:tc>
          <w:tcPr>
            <w:tcW w:w="29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3,503</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19" w:type="dxa"/>
            <w:tcBorders/>
          </w:tcPr>
          <w:p>
            <w:pPr>
              <w:pStyle w:val="TableContents"/>
              <w:bidi w:val="0"/>
              <w:spacing w:before="0" w:after="0"/>
              <w:jc w:val="left"/>
              <w:rPr>
                <w:rFonts w:ascii="Times New Roman" w:hAnsi="Times New Roman"/>
                <w:sz w:val="20"/>
              </w:rPr>
            </w:pPr>
            <w:r>
              <w:rPr>
                <w:rFonts w:ascii="Times New Roman" w:hAnsi="Times New Roman"/>
                <w:sz w:val="20"/>
              </w:rPr>
              <w:t>Total cash and cash equivalents</w:t>
            </w:r>
          </w:p>
        </w:tc>
        <w:tc>
          <w:tcPr>
            <w:tcW w:w="29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201,842</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74,367</w:t>
            </w:r>
          </w:p>
        </w:tc>
        <w:tc>
          <w:tcPr>
            <w:tcW w:w="62" w:type="dxa"/>
            <w:tcBorders/>
            <w:vAlign w:val="bottom"/>
          </w:tcPr>
          <w:p>
            <w:pPr>
              <w:pStyle w:val="TableContents"/>
              <w:bidi w:val="0"/>
              <w:spacing w:before="0" w:after="283"/>
              <w:jc w:val="left"/>
              <w:rPr/>
            </w:pPr>
            <w:r>
              <w:rPr/>
              <w:t> </w:t>
            </w:r>
          </w:p>
        </w:tc>
      </w:tr>
      <w:tr>
        <w:trPr/>
        <w:tc>
          <w:tcPr>
            <w:tcW w:w="4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9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75,239</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107,435</w:t>
            </w:r>
          </w:p>
        </w:tc>
        <w:tc>
          <w:tcPr>
            <w:tcW w:w="62" w:type="dxa"/>
            <w:tcBorders/>
            <w:shd w:fill="CCEEFF" w:val="clear"/>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19" w:type="dxa"/>
            <w:tcBorders/>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277,081</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181,802</w:t>
            </w:r>
          </w:p>
        </w:tc>
        <w:tc>
          <w:tcPr>
            <w:tcW w:w="62" w:type="dxa"/>
            <w:tcBorders/>
            <w:vAlign w:val="bottom"/>
          </w:tcPr>
          <w:p>
            <w:pPr>
              <w:pStyle w:val="TableContents"/>
              <w:bidi w:val="0"/>
              <w:spacing w:before="0" w:after="283"/>
              <w:jc w:val="left"/>
              <w:rPr/>
            </w:pPr>
            <w:r>
              <w:rPr/>
              <w:t> </w:t>
            </w:r>
          </w:p>
        </w:tc>
      </w:tr>
      <w:tr>
        <w:trPr/>
        <w:tc>
          <w:tcPr>
            <w:tcW w:w="4719"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June 30, 2026, restricted cash of US$71,297 thousand and US$103,918 thousand was classified as restricted assets-current, and US$3,942 thousand and US$3,517 thousand was classified as other assets,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4. ACCOUNTS RECEIVABLE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03"/>
        <w:gridCol w:w="290"/>
        <w:gridCol w:w="98"/>
        <w:gridCol w:w="1328"/>
        <w:gridCol w:w="155"/>
        <w:gridCol w:w="238"/>
        <w:gridCol w:w="61"/>
        <w:gridCol w:w="824"/>
        <w:gridCol w:w="158"/>
      </w:tblGrid>
      <w:tr>
        <w:trPr/>
        <w:tc>
          <w:tcPr>
            <w:tcW w:w="4603"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8" w:type="dxa"/>
            <w:tcBorders/>
            <w:vAlign w:val="bottom"/>
          </w:tcPr>
          <w:p>
            <w:pPr>
              <w:pStyle w:val="TableContents"/>
              <w:bidi w:val="0"/>
              <w:spacing w:before="0" w:after="283"/>
              <w:jc w:val="left"/>
              <w:rPr/>
            </w:pPr>
            <w:r>
              <w:rPr/>
              <w:t> </w:t>
            </w:r>
          </w:p>
        </w:tc>
      </w:tr>
      <w:tr>
        <w:trPr/>
        <w:tc>
          <w:tcPr>
            <w:tcW w:w="460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bidi w:val="0"/>
              <w:spacing w:before="0" w:after="283"/>
              <w:jc w:val="center"/>
              <w:rPr>
                <w:b/>
              </w:rPr>
            </w:pPr>
            <w:r>
              <w:rPr>
                <w:b/>
              </w:rPr>
              <w:t>US$</w:t>
            </w:r>
          </w:p>
        </w:tc>
        <w:tc>
          <w:tcPr>
            <w:tcW w:w="158" w:type="dxa"/>
            <w:tcBorders/>
            <w:vAlign w:val="bottom"/>
          </w:tcPr>
          <w:p>
            <w:pPr>
              <w:pStyle w:val="TableContents"/>
              <w:bidi w:val="0"/>
              <w:spacing w:before="0" w:after="283"/>
              <w:jc w:val="left"/>
              <w:rPr/>
            </w:pPr>
            <w:r>
              <w:rPr/>
              <w:t> </w:t>
            </w:r>
          </w:p>
        </w:tc>
      </w:tr>
      <w:tr>
        <w:trPr/>
        <w:tc>
          <w:tcPr>
            <w:tcW w:w="4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2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211,547</w:t>
            </w:r>
          </w:p>
        </w:tc>
        <w:tc>
          <w:tcPr>
            <w:tcW w:w="155"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323,639</w:t>
            </w:r>
          </w:p>
        </w:tc>
        <w:tc>
          <w:tcPr>
            <w:tcW w:w="158" w:type="dxa"/>
            <w:tcBorders/>
            <w:shd w:fill="CCEEFF" w:val="clear"/>
            <w:vAlign w:val="bottom"/>
          </w:tcPr>
          <w:p>
            <w:pPr>
              <w:pStyle w:val="TableContents"/>
              <w:bidi w:val="0"/>
              <w:spacing w:before="0" w:after="283"/>
              <w:jc w:val="left"/>
              <w:rPr/>
            </w:pPr>
            <w:r>
              <w:rPr/>
              <w:t> </w:t>
            </w:r>
          </w:p>
        </w:tc>
      </w:tr>
      <w:tr>
        <w:trPr/>
        <w:tc>
          <w:tcPr>
            <w:tcW w:w="4603"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2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4603"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03" w:type="dxa"/>
            <w:tcBorders/>
            <w:shd w:fill="CCEEFF" w:val="clear"/>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211,546</w:t>
            </w:r>
          </w:p>
        </w:tc>
        <w:tc>
          <w:tcPr>
            <w:tcW w:w="155"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323,638</w:t>
            </w:r>
          </w:p>
        </w:tc>
        <w:tc>
          <w:tcPr>
            <w:tcW w:w="158" w:type="dxa"/>
            <w:tcBorders/>
            <w:shd w:fill="CCEEFF" w:val="clear"/>
            <w:vAlign w:val="bottom"/>
          </w:tcPr>
          <w:p>
            <w:pPr>
              <w:pStyle w:val="TableContents"/>
              <w:bidi w:val="0"/>
              <w:spacing w:before="0" w:after="283"/>
              <w:jc w:val="left"/>
              <w:rPr/>
            </w:pPr>
            <w:r>
              <w:rPr/>
              <w:t> </w:t>
            </w:r>
          </w:p>
        </w:tc>
      </w:tr>
      <w:tr>
        <w:trPr/>
        <w:tc>
          <w:tcPr>
            <w:tcW w:w="4603"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5. INVENTORIES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inventories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2"/>
        <w:gridCol w:w="302"/>
        <w:gridCol w:w="98"/>
        <w:gridCol w:w="1331"/>
        <w:gridCol w:w="60"/>
        <w:gridCol w:w="302"/>
        <w:gridCol w:w="61"/>
        <w:gridCol w:w="826"/>
        <w:gridCol w:w="63"/>
      </w:tblGrid>
      <w:tr>
        <w:trPr/>
        <w:tc>
          <w:tcPr>
            <w:tcW w:w="4712"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1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3" w:type="dxa"/>
            <w:tcBorders/>
            <w:vAlign w:val="bottom"/>
          </w:tcPr>
          <w:p>
            <w:pPr>
              <w:pStyle w:val="TableContents"/>
              <w:bidi w:val="0"/>
              <w:spacing w:before="0" w:after="283"/>
              <w:jc w:val="left"/>
              <w:rPr/>
            </w:pPr>
            <w:r>
              <w:rPr/>
              <w:t> </w:t>
            </w:r>
          </w:p>
        </w:tc>
      </w:tr>
      <w:tr>
        <w:trPr/>
        <w:tc>
          <w:tcPr>
            <w:tcW w:w="471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29"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center"/>
              <w:rPr>
                <w:b/>
              </w:rPr>
            </w:pPr>
            <w:r>
              <w:rPr>
                <w:b/>
              </w:rPr>
              <w:t>US$</w:t>
            </w:r>
          </w:p>
        </w:tc>
        <w:tc>
          <w:tcPr>
            <w:tcW w:w="63" w:type="dxa"/>
            <w:tcBorders/>
            <w:vAlign w:val="bottom"/>
          </w:tcPr>
          <w:p>
            <w:pPr>
              <w:pStyle w:val="TableContents"/>
              <w:bidi w:val="0"/>
              <w:spacing w:before="0" w:after="283"/>
              <w:jc w:val="left"/>
              <w:rPr/>
            </w:pPr>
            <w:r>
              <w:rPr/>
              <w:t> </w:t>
            </w:r>
          </w:p>
        </w:tc>
      </w:tr>
      <w:tr>
        <w:trPr/>
        <w:tc>
          <w:tcPr>
            <w:tcW w:w="4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0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71,821</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85,658</w:t>
            </w:r>
          </w:p>
        </w:tc>
        <w:tc>
          <w:tcPr>
            <w:tcW w:w="63" w:type="dxa"/>
            <w:tcBorders/>
            <w:shd w:fill="CCEEFF" w:val="clear"/>
            <w:vAlign w:val="bottom"/>
          </w:tcPr>
          <w:p>
            <w:pPr>
              <w:pStyle w:val="TableContents"/>
              <w:bidi w:val="0"/>
              <w:spacing w:before="0" w:after="283"/>
              <w:jc w:val="left"/>
              <w:rPr/>
            </w:pPr>
            <w:r>
              <w:rPr/>
              <w:t> </w:t>
            </w:r>
          </w:p>
        </w:tc>
      </w:tr>
      <w:tr>
        <w:trPr/>
        <w:tc>
          <w:tcPr>
            <w:tcW w:w="4712"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30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177,661</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156,705</w:t>
            </w:r>
          </w:p>
        </w:tc>
        <w:tc>
          <w:tcPr>
            <w:tcW w:w="63" w:type="dxa"/>
            <w:tcBorders/>
            <w:vAlign w:val="bottom"/>
          </w:tcPr>
          <w:p>
            <w:pPr>
              <w:pStyle w:val="TableContents"/>
              <w:bidi w:val="0"/>
              <w:spacing w:before="0" w:after="283"/>
              <w:jc w:val="left"/>
              <w:rPr/>
            </w:pPr>
            <w:r>
              <w:rPr/>
              <w:t> </w:t>
            </w:r>
          </w:p>
        </w:tc>
      </w:tr>
      <w:tr>
        <w:trPr/>
        <w:tc>
          <w:tcPr>
            <w:tcW w:w="4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0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172,316</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430,679</w:t>
            </w:r>
          </w:p>
        </w:tc>
        <w:tc>
          <w:tcPr>
            <w:tcW w:w="63" w:type="dxa"/>
            <w:tcBorders/>
            <w:shd w:fill="CCEEFF" w:val="clear"/>
            <w:vAlign w:val="bottom"/>
          </w:tcPr>
          <w:p>
            <w:pPr>
              <w:pStyle w:val="TableContents"/>
              <w:bidi w:val="0"/>
              <w:spacing w:before="0" w:after="283"/>
              <w:jc w:val="left"/>
              <w:rPr/>
            </w:pPr>
            <w:r>
              <w:rPr/>
              <w:t> </w:t>
            </w:r>
          </w:p>
        </w:tc>
      </w:tr>
      <w:tr>
        <w:trPr/>
        <w:tc>
          <w:tcPr>
            <w:tcW w:w="471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12" w:type="dxa"/>
            <w:tcBorders/>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421,798</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673,042</w:t>
            </w:r>
          </w:p>
        </w:tc>
        <w:tc>
          <w:tcPr>
            <w:tcW w:w="63" w:type="dxa"/>
            <w:tcBorders/>
            <w:vAlign w:val="bottom"/>
          </w:tcPr>
          <w:p>
            <w:pPr>
              <w:pStyle w:val="TableContents"/>
              <w:bidi w:val="0"/>
              <w:spacing w:before="0" w:after="283"/>
              <w:jc w:val="left"/>
              <w:rPr/>
            </w:pPr>
            <w:r>
              <w:rPr/>
              <w:t> </w:t>
            </w:r>
          </w:p>
        </w:tc>
      </w:tr>
      <w:tr>
        <w:trPr/>
        <w:tc>
          <w:tcPr>
            <w:tcW w:w="471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wrote down US$7,297 thousand for the six months ended June 30, 2026, compared with US$614 thousand for the corresponding period in 2025, for obsolete or unmarketable inventory.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3"/>
        <w:gridCol w:w="9799"/>
      </w:tblGrid>
      <w:tr>
        <w:trPr/>
        <w:tc>
          <w:tcPr>
            <w:tcW w:w="20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INVESTMENTS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June 30, 2026, the Company held equity investments in several privately-held and listed companies with the carrying value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12"/>
        <w:gridCol w:w="328"/>
        <w:gridCol w:w="405"/>
        <w:gridCol w:w="976"/>
        <w:gridCol w:w="473"/>
        <w:gridCol w:w="271"/>
        <w:gridCol w:w="242"/>
        <w:gridCol w:w="582"/>
        <w:gridCol w:w="275"/>
        <w:gridCol w:w="240"/>
        <w:gridCol w:w="109"/>
        <w:gridCol w:w="1260"/>
        <w:gridCol w:w="60"/>
        <w:gridCol w:w="328"/>
        <w:gridCol w:w="60"/>
        <w:gridCol w:w="801"/>
        <w:gridCol w:w="66"/>
      </w:tblGrid>
      <w:tr>
        <w:trPr/>
        <w:tc>
          <w:tcPr>
            <w:tcW w:w="2912"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912"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Percentage of Ownership</w:t>
            </w:r>
          </w:p>
        </w:tc>
        <w:tc>
          <w:tcPr>
            <w:tcW w:w="27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center"/>
              <w:rPr>
                <w:b/>
              </w:rPr>
            </w:pPr>
            <w:r>
              <w:rPr>
                <w:b/>
              </w:rPr>
              <w:t>June 30,</w:t>
            </w:r>
          </w:p>
        </w:tc>
        <w:tc>
          <w:tcPr>
            <w:tcW w:w="66" w:type="dxa"/>
            <w:tcBorders/>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bidi w:val="0"/>
              <w:spacing w:before="0" w:after="283"/>
              <w:jc w:val="center"/>
              <w:rPr>
                <w:b/>
              </w:rPr>
            </w:pPr>
            <w:r>
              <w:rPr>
                <w:b/>
              </w:rPr>
              <w:t>December 31,</w:t>
            </w:r>
          </w:p>
        </w:tc>
        <w:tc>
          <w:tcPr>
            <w:tcW w:w="47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June 30,</w:t>
            </w:r>
          </w:p>
        </w:tc>
        <w:tc>
          <w:tcPr>
            <w:tcW w:w="27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6" w:type="dxa"/>
            <w:tcBorders/>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bidi w:val="0"/>
              <w:spacing w:before="0" w:after="283"/>
              <w:jc w:val="center"/>
              <w:rPr>
                <w:b/>
              </w:rPr>
            </w:pPr>
            <w:r>
              <w:rPr>
                <w:b/>
              </w:rPr>
              <w:t>2025</w:t>
            </w:r>
          </w:p>
        </w:tc>
        <w:tc>
          <w:tcPr>
            <w:tcW w:w="47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824" w:type="dxa"/>
            <w:gridSpan w:val="2"/>
            <w:tcBorders/>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9"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center"/>
              <w:rPr>
                <w:b/>
              </w:rPr>
            </w:pPr>
            <w:r>
              <w:rPr>
                <w:b/>
              </w:rPr>
              <w:t>US$</w:t>
            </w:r>
          </w:p>
        </w:tc>
        <w:tc>
          <w:tcPr>
            <w:tcW w:w="66" w:type="dxa"/>
            <w:tcBorders/>
            <w:vAlign w:val="bottom"/>
          </w:tcPr>
          <w:p>
            <w:pPr>
              <w:pStyle w:val="TableContents"/>
              <w:bidi w:val="0"/>
              <w:spacing w:before="0" w:after="283"/>
              <w:jc w:val="left"/>
              <w:rPr/>
            </w:pPr>
            <w:r>
              <w:rPr/>
              <w:t> </w:t>
            </w:r>
          </w:p>
        </w:tc>
      </w:tr>
      <w:tr>
        <w:trPr/>
        <w:tc>
          <w:tcPr>
            <w:tcW w:w="2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equity securities:</w:t>
            </w:r>
          </w:p>
        </w:tc>
        <w:tc>
          <w:tcPr>
            <w:tcW w:w="328"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912" w:type="dxa"/>
            <w:tcBorders/>
          </w:tcPr>
          <w:p>
            <w:pPr>
              <w:pStyle w:val="TableContents"/>
              <w:bidi w:val="0"/>
              <w:spacing w:before="0" w:after="0"/>
              <w:jc w:val="left"/>
              <w:rPr>
                <w:rFonts w:ascii="Times New Roman" w:hAnsi="Times New Roman"/>
                <w:sz w:val="20"/>
              </w:rPr>
            </w:pPr>
            <w:r>
              <w:rPr>
                <w:rFonts w:ascii="Times New Roman" w:hAnsi="Times New Roman"/>
                <w:sz w:val="20"/>
              </w:rPr>
              <w:t>BIWIN Storage Technology Corp. (BIWIN)</w:t>
            </w:r>
          </w:p>
        </w:tc>
        <w:tc>
          <w:tcPr>
            <w:tcW w:w="328"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0</w:t>
            </w:r>
          </w:p>
        </w:tc>
        <w:tc>
          <w:tcPr>
            <w:tcW w:w="47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11,432</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50,847</w:t>
            </w:r>
          </w:p>
        </w:tc>
        <w:tc>
          <w:tcPr>
            <w:tcW w:w="66" w:type="dxa"/>
            <w:tcBorders/>
            <w:vAlign w:val="bottom"/>
          </w:tcPr>
          <w:p>
            <w:pPr>
              <w:pStyle w:val="TableContents"/>
              <w:bidi w:val="0"/>
              <w:spacing w:before="0" w:after="283"/>
              <w:jc w:val="left"/>
              <w:rPr/>
            </w:pPr>
            <w:r>
              <w:rPr/>
              <w:t> </w:t>
            </w:r>
          </w:p>
        </w:tc>
      </w:tr>
      <w:tr>
        <w:trPr/>
        <w:tc>
          <w:tcPr>
            <w:tcW w:w="2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Shenzhen Techwinsemi Technology Corp (TWSC)</w:t>
            </w:r>
          </w:p>
        </w:tc>
        <w:tc>
          <w:tcPr>
            <w:tcW w:w="328"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0</w:t>
            </w:r>
          </w:p>
        </w:tc>
        <w:tc>
          <w:tcPr>
            <w:tcW w:w="47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18,244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76,556</w:t>
            </w:r>
          </w:p>
        </w:tc>
        <w:tc>
          <w:tcPr>
            <w:tcW w:w="66" w:type="dxa"/>
            <w:tcBorders/>
            <w:shd w:fill="CCEEFF" w:val="clear"/>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912" w:type="dxa"/>
            <w:tcBorders/>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29,676</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127,403</w:t>
            </w:r>
          </w:p>
        </w:tc>
        <w:tc>
          <w:tcPr>
            <w:tcW w:w="66" w:type="dxa"/>
            <w:tcBorders/>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July 2021, the Company invested US$2,041 thousand in the common stock of BIWIN, which is a leading module maker in China focusing on solid state storage devices. BIWIN is one of our customers and was listed on the Science and Technology Innovation Board of Shanghai Stock Exchange in December 2022. The Company recorded unrealized holding gains of US$530 thousand and US$38,895 thousand for the six months ended June 30, 2025 and 2026, respectively, related to BIWIN.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the Company invested US$4,173 thousand in the common stock of TWSC, which is a leading module maker in China focusing on solid state storage devices and is one of our customers and was listed on the Science and Technology Innovation Board of Shenzhen Stock Exchange in 2022. The Company had unrealized holding gains of US$1,715 thousand and US$57,537 thousand for the six months ended June 30, 2025 and 2026,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7. PROPERTY AND EQUIPMENT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34"/>
        <w:gridCol w:w="292"/>
        <w:gridCol w:w="98"/>
        <w:gridCol w:w="1331"/>
        <w:gridCol w:w="60"/>
        <w:gridCol w:w="292"/>
        <w:gridCol w:w="61"/>
        <w:gridCol w:w="825"/>
        <w:gridCol w:w="62"/>
      </w:tblGrid>
      <w:tr>
        <w:trPr/>
        <w:tc>
          <w:tcPr>
            <w:tcW w:w="4734"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3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2" w:type="dxa"/>
            <w:tcBorders/>
            <w:vAlign w:val="bottom"/>
          </w:tcPr>
          <w:p>
            <w:pPr>
              <w:pStyle w:val="TableContents"/>
              <w:bidi w:val="0"/>
              <w:spacing w:before="0" w:after="283"/>
              <w:jc w:val="left"/>
              <w:rPr/>
            </w:pPr>
            <w:r>
              <w:rPr/>
              <w:t> </w:t>
            </w:r>
          </w:p>
        </w:tc>
      </w:tr>
      <w:tr>
        <w:trPr/>
        <w:tc>
          <w:tcPr>
            <w:tcW w:w="473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29"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bidi w:val="0"/>
              <w:spacing w:before="0" w:after="283"/>
              <w:jc w:val="center"/>
              <w:rPr>
                <w:b/>
              </w:rPr>
            </w:pPr>
            <w:r>
              <w:rPr>
                <w:b/>
              </w:rPr>
              <w:t>US$</w:t>
            </w:r>
          </w:p>
        </w:tc>
        <w:tc>
          <w:tcPr>
            <w:tcW w:w="62" w:type="dxa"/>
            <w:tcBorders/>
            <w:vAlign w:val="bottom"/>
          </w:tcPr>
          <w:p>
            <w:pPr>
              <w:pStyle w:val="TableContents"/>
              <w:bidi w:val="0"/>
              <w:spacing w:before="0" w:after="283"/>
              <w:jc w:val="left"/>
              <w:rPr/>
            </w:pPr>
            <w:r>
              <w:rPr/>
              <w:t> </w:t>
            </w:r>
          </w:p>
        </w:tc>
      </w:tr>
      <w:tr>
        <w:trPr/>
        <w:tc>
          <w:tcPr>
            <w:tcW w:w="7693" w:type="dxa"/>
            <w:gridSpan w:val="8"/>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w:t>
            </w:r>
          </w:p>
        </w:tc>
        <w:tc>
          <w:tcPr>
            <w:tcW w:w="62" w:type="dxa"/>
            <w:tcBorders/>
            <w:shd w:fill="CCEEFF" w:val="clear"/>
          </w:tcPr>
          <w:p>
            <w:pPr>
              <w:pStyle w:val="TableContents"/>
              <w:bidi w:val="0"/>
              <w:spacing w:before="0" w:after="0"/>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67,640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67,640</w:t>
            </w:r>
          </w:p>
        </w:tc>
        <w:tc>
          <w:tcPr>
            <w:tcW w:w="62" w:type="dxa"/>
            <w:tcBorders/>
            <w:vAlign w:val="bottom"/>
          </w:tcPr>
          <w:p>
            <w:pPr>
              <w:pStyle w:val="TableContents"/>
              <w:bidi w:val="0"/>
              <w:spacing w:before="0" w:after="283"/>
              <w:jc w:val="left"/>
              <w:rPr/>
            </w:pPr>
            <w:r>
              <w:rPr/>
              <w:t> </w:t>
            </w:r>
          </w:p>
        </w:tc>
      </w:tr>
      <w:tr>
        <w:trPr/>
        <w:tc>
          <w:tcPr>
            <w:tcW w:w="4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95,481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95,826</w:t>
            </w:r>
          </w:p>
        </w:tc>
        <w:tc>
          <w:tcPr>
            <w:tcW w:w="62" w:type="dxa"/>
            <w:tcBorders/>
            <w:shd w:fill="CCEEFF" w:val="clear"/>
            <w:vAlign w:val="bottom"/>
          </w:tcPr>
          <w:p>
            <w:pPr>
              <w:pStyle w:val="TableContents"/>
              <w:bidi w:val="0"/>
              <w:spacing w:before="0" w:after="283"/>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85,851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100,084</w:t>
            </w:r>
          </w:p>
        </w:tc>
        <w:tc>
          <w:tcPr>
            <w:tcW w:w="62" w:type="dxa"/>
            <w:tcBorders/>
            <w:vAlign w:val="bottom"/>
          </w:tcPr>
          <w:p>
            <w:pPr>
              <w:pStyle w:val="TableContents"/>
              <w:bidi w:val="0"/>
              <w:spacing w:before="0" w:after="283"/>
              <w:jc w:val="left"/>
              <w:rPr/>
            </w:pPr>
            <w:r>
              <w:rPr/>
              <w:t> </w:t>
            </w:r>
          </w:p>
        </w:tc>
      </w:tr>
      <w:tr>
        <w:trPr/>
        <w:tc>
          <w:tcPr>
            <w:tcW w:w="4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12,707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12,807</w:t>
            </w:r>
          </w:p>
        </w:tc>
        <w:tc>
          <w:tcPr>
            <w:tcW w:w="62" w:type="dxa"/>
            <w:tcBorders/>
            <w:shd w:fill="CCEEFF" w:val="clear"/>
            <w:vAlign w:val="bottom"/>
          </w:tcPr>
          <w:p>
            <w:pPr>
              <w:pStyle w:val="TableContents"/>
              <w:bidi w:val="0"/>
              <w:spacing w:before="0" w:after="283"/>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Leasehold and buildings improvement</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33,707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34,156</w:t>
            </w:r>
          </w:p>
        </w:tc>
        <w:tc>
          <w:tcPr>
            <w:tcW w:w="62" w:type="dxa"/>
            <w:tcBorders/>
            <w:vAlign w:val="bottom"/>
          </w:tcPr>
          <w:p>
            <w:pPr>
              <w:pStyle w:val="TableContents"/>
              <w:bidi w:val="0"/>
              <w:spacing w:before="0" w:after="283"/>
              <w:jc w:val="left"/>
              <w:rPr/>
            </w:pPr>
            <w:r>
              <w:rPr/>
              <w:t> </w:t>
            </w:r>
          </w:p>
        </w:tc>
      </w:tr>
      <w:tr>
        <w:trPr/>
        <w:tc>
          <w:tcPr>
            <w:tcW w:w="4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82,403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92,018</w:t>
            </w:r>
          </w:p>
        </w:tc>
        <w:tc>
          <w:tcPr>
            <w:tcW w:w="62" w:type="dxa"/>
            <w:tcBorders/>
            <w:shd w:fill="CCEEFF" w:val="clear"/>
            <w:vAlign w:val="bottom"/>
          </w:tcPr>
          <w:p>
            <w:pPr>
              <w:pStyle w:val="TableContents"/>
              <w:bidi w:val="0"/>
              <w:spacing w:before="0" w:after="283"/>
              <w:jc w:val="left"/>
              <w:rPr/>
            </w:pPr>
            <w:r>
              <w:rPr/>
              <w:t> </w:t>
            </w:r>
          </w:p>
        </w:tc>
      </w:tr>
      <w:tr>
        <w:trPr/>
        <w:tc>
          <w:tcPr>
            <w:tcW w:w="473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377,789</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402,531</w:t>
            </w:r>
          </w:p>
        </w:tc>
        <w:tc>
          <w:tcPr>
            <w:tcW w:w="62" w:type="dxa"/>
            <w:tcBorders/>
            <w:vAlign w:val="bottom"/>
          </w:tcPr>
          <w:p>
            <w:pPr>
              <w:pStyle w:val="TableContents"/>
              <w:bidi w:val="0"/>
              <w:spacing w:before="0" w:after="283"/>
              <w:jc w:val="left"/>
              <w:rPr/>
            </w:pPr>
            <w:r>
              <w:rPr/>
              <w:t> </w:t>
            </w:r>
          </w:p>
        </w:tc>
      </w:tr>
      <w:tr>
        <w:trPr/>
        <w:tc>
          <w:tcPr>
            <w:tcW w:w="473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693" w:type="dxa"/>
            <w:gridSpan w:val="8"/>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62" w:type="dxa"/>
            <w:tcBorders/>
            <w:shd w:fill="CCEEFF" w:val="clear"/>
          </w:tcPr>
          <w:p>
            <w:pPr>
              <w:pStyle w:val="TableContents"/>
              <w:bidi w:val="0"/>
              <w:spacing w:before="0" w:after="0"/>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8,347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9,389</w:t>
            </w:r>
          </w:p>
        </w:tc>
        <w:tc>
          <w:tcPr>
            <w:tcW w:w="62" w:type="dxa"/>
            <w:tcBorders/>
            <w:vAlign w:val="bottom"/>
          </w:tcPr>
          <w:p>
            <w:pPr>
              <w:pStyle w:val="TableContents"/>
              <w:bidi w:val="0"/>
              <w:spacing w:before="0" w:after="283"/>
              <w:jc w:val="left"/>
              <w:rPr/>
            </w:pPr>
            <w:r>
              <w:rPr/>
              <w:t> </w:t>
            </w:r>
          </w:p>
        </w:tc>
      </w:tr>
      <w:tr>
        <w:trPr/>
        <w:tc>
          <w:tcPr>
            <w:tcW w:w="4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61,433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67,329</w:t>
            </w:r>
          </w:p>
        </w:tc>
        <w:tc>
          <w:tcPr>
            <w:tcW w:w="62" w:type="dxa"/>
            <w:tcBorders/>
            <w:shd w:fill="CCEEFF" w:val="clear"/>
            <w:vAlign w:val="bottom"/>
          </w:tcPr>
          <w:p>
            <w:pPr>
              <w:pStyle w:val="TableContents"/>
              <w:bidi w:val="0"/>
              <w:spacing w:before="0" w:after="283"/>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6,635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7,258</w:t>
            </w:r>
          </w:p>
        </w:tc>
        <w:tc>
          <w:tcPr>
            <w:tcW w:w="62" w:type="dxa"/>
            <w:tcBorders/>
            <w:vAlign w:val="bottom"/>
          </w:tcPr>
          <w:p>
            <w:pPr>
              <w:pStyle w:val="TableContents"/>
              <w:bidi w:val="0"/>
              <w:spacing w:before="0" w:after="283"/>
              <w:jc w:val="left"/>
              <w:rPr/>
            </w:pPr>
            <w:r>
              <w:rPr/>
              <w:t> </w:t>
            </w:r>
          </w:p>
        </w:tc>
      </w:tr>
      <w:tr>
        <w:trPr/>
        <w:tc>
          <w:tcPr>
            <w:tcW w:w="4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and buildings improvement</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6,226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6,689</w:t>
            </w:r>
          </w:p>
        </w:tc>
        <w:tc>
          <w:tcPr>
            <w:tcW w:w="62" w:type="dxa"/>
            <w:tcBorders/>
            <w:shd w:fill="CCEEFF" w:val="clear"/>
            <w:vAlign w:val="bottom"/>
          </w:tcPr>
          <w:p>
            <w:pPr>
              <w:pStyle w:val="TableContents"/>
              <w:bidi w:val="0"/>
              <w:spacing w:before="0" w:after="283"/>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76,943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85,060</w:t>
            </w:r>
          </w:p>
        </w:tc>
        <w:tc>
          <w:tcPr>
            <w:tcW w:w="62" w:type="dxa"/>
            <w:tcBorders/>
            <w:vAlign w:val="bottom"/>
          </w:tcPr>
          <w:p>
            <w:pPr>
              <w:pStyle w:val="TableContents"/>
              <w:bidi w:val="0"/>
              <w:spacing w:before="0" w:after="283"/>
              <w:jc w:val="left"/>
              <w:rPr/>
            </w:pPr>
            <w:r>
              <w:rPr/>
              <w:t> </w:t>
            </w:r>
          </w:p>
        </w:tc>
      </w:tr>
      <w:tr>
        <w:trPr/>
        <w:tc>
          <w:tcPr>
            <w:tcW w:w="473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34" w:type="dxa"/>
            <w:tcBorders/>
            <w:shd w:fill="CCEEFF" w:val="clear"/>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159,584</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175,725</w:t>
            </w:r>
          </w:p>
        </w:tc>
        <w:tc>
          <w:tcPr>
            <w:tcW w:w="62" w:type="dxa"/>
            <w:tcBorders/>
            <w:shd w:fill="CCEEFF" w:val="clear"/>
            <w:vAlign w:val="bottom"/>
          </w:tcPr>
          <w:p>
            <w:pPr>
              <w:pStyle w:val="TableContents"/>
              <w:bidi w:val="0"/>
              <w:spacing w:before="0" w:after="283"/>
              <w:jc w:val="left"/>
              <w:rPr/>
            </w:pPr>
            <w:r>
              <w:rPr/>
              <w:t> </w:t>
            </w:r>
          </w:p>
        </w:tc>
      </w:tr>
      <w:tr>
        <w:trPr/>
        <w:tc>
          <w:tcPr>
            <w:tcW w:w="4734" w:type="dxa"/>
            <w:tcBorders/>
          </w:tcPr>
          <w:p>
            <w:pPr>
              <w:pStyle w:val="TableContents"/>
              <w:bidi w:val="0"/>
              <w:spacing w:before="0" w:after="0"/>
              <w:jc w:val="left"/>
              <w:rPr>
                <w:rFonts w:ascii="Times New Roman" w:hAnsi="Times New Roman"/>
                <w:sz w:val="20"/>
              </w:rPr>
            </w:pPr>
            <w:r>
              <w:rPr>
                <w:rFonts w:ascii="Times New Roman" w:hAnsi="Times New Roman"/>
                <w:sz w:val="20"/>
              </w:rPr>
              <w:t>Prepayment and construction in progress</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761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5,999</w:t>
            </w:r>
          </w:p>
        </w:tc>
        <w:tc>
          <w:tcPr>
            <w:tcW w:w="62" w:type="dxa"/>
            <w:tcBorders/>
            <w:vAlign w:val="bottom"/>
          </w:tcPr>
          <w:p>
            <w:pPr>
              <w:pStyle w:val="TableContents"/>
              <w:bidi w:val="0"/>
              <w:spacing w:before="0" w:after="283"/>
              <w:jc w:val="left"/>
              <w:rPr/>
            </w:pPr>
            <w:r>
              <w:rPr/>
              <w:t> </w:t>
            </w:r>
          </w:p>
        </w:tc>
      </w:tr>
      <w:tr>
        <w:trPr/>
        <w:tc>
          <w:tcPr>
            <w:tcW w:w="473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34" w:type="dxa"/>
            <w:tcBorders/>
            <w:shd w:fill="CCEEFF" w:val="clear"/>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218,966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232,805</w:t>
            </w:r>
          </w:p>
        </w:tc>
        <w:tc>
          <w:tcPr>
            <w:tcW w:w="62" w:type="dxa"/>
            <w:tcBorders/>
            <w:shd w:fill="CCEEFF" w:val="clear"/>
            <w:vAlign w:val="bottom"/>
          </w:tcPr>
          <w:p>
            <w:pPr>
              <w:pStyle w:val="TableContents"/>
              <w:bidi w:val="0"/>
              <w:spacing w:before="0" w:after="283"/>
              <w:jc w:val="left"/>
              <w:rPr/>
            </w:pPr>
            <w:r>
              <w:rPr/>
              <w:t> </w:t>
            </w:r>
          </w:p>
        </w:tc>
      </w:tr>
      <w:tr>
        <w:trPr/>
        <w:tc>
          <w:tcPr>
            <w:tcW w:w="473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September 2018, the Company acquired land in Hsinchu, Taiwan, for US$58,931 thousand to construct its Taiwan headquarters. Construction of the building commenced in January 2021 and was completed in 2025. Upon completion, the building was capitalized at a total cost of US$67,038 thousand.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2021, the Company won a bid to develop an office building in Taipei, Taiwan. Following receipt of the construction license in 2025, construction of the building began in 2026, and as of June 30, 2026, the project, with a capitalized cost of US$4,934 thousand, remains under construction, with completion expected by the end of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SHORT-TERM BANK LOANS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2026, the Company entered into two revolving credit facilities with aggregate borrowing capacity of $250.0 million. The facilities bear interest at rates ranging from 4.10% to 4.25% and mature in 2027. The facilities are unsecured and do not contain any financial covenants. As of June 30, 2026, the Company had outstanding borrowings of $59,183 thousand under the facilities and aggregate remaining availability of $190,817 thousand. The weighted-average interest rate on the outstanding borrowings as of June 30, 2026 was 4.11%. The interest expenses for six months ended June 30, 2026 was US$101 thousand. The proceeds from the borrowings were used for general corporate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9. REFUND LIABILITIES </w:t>
      </w:r>
    </w:p>
    <w:p>
      <w:pPr>
        <w:pStyle w:val="TextBody"/>
        <w:bidi w:val="0"/>
        <w:spacing w:before="240" w:after="0"/>
        <w:jc w:val="left"/>
        <w:rPr>
          <w:rFonts w:ascii="Times New Roman" w:hAnsi="Times New Roman"/>
          <w:sz w:val="20"/>
        </w:rPr>
      </w:pPr>
      <w:r>
        <w:rPr>
          <w:rFonts w:ascii="Times New Roman" w:hAnsi="Times New Roman"/>
          <w:sz w:val="20"/>
        </w:rPr>
        <w:t xml:space="preserve">Estimated sales returns and other allowances are made and adjusted based on historical experience and the consideration of varying contractual terms.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the refund liabilities are summarized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08"/>
        <w:gridCol w:w="340"/>
        <w:gridCol w:w="122"/>
        <w:gridCol w:w="1293"/>
        <w:gridCol w:w="155"/>
        <w:gridCol w:w="290"/>
        <w:gridCol w:w="70"/>
        <w:gridCol w:w="818"/>
        <w:gridCol w:w="159"/>
      </w:tblGrid>
      <w:tr>
        <w:trPr/>
        <w:tc>
          <w:tcPr>
            <w:tcW w:w="4508"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8"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9" w:type="dxa"/>
            <w:tcBorders/>
            <w:vAlign w:val="bottom"/>
          </w:tcPr>
          <w:p>
            <w:pPr>
              <w:pStyle w:val="TableContents"/>
              <w:bidi w:val="0"/>
              <w:spacing w:before="0" w:after="283"/>
              <w:jc w:val="left"/>
              <w:rPr/>
            </w:pPr>
            <w:r>
              <w:rPr/>
              <w:t> </w:t>
            </w:r>
          </w:p>
        </w:tc>
      </w:tr>
      <w:tr>
        <w:trPr/>
        <w:tc>
          <w:tcPr>
            <w:tcW w:w="4508"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Refund liabilities</w:t>
            </w:r>
          </w:p>
        </w:tc>
        <w:tc>
          <w:tcPr>
            <w:tcW w:w="3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12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Balance, beginning of period</w:t>
            </w:r>
          </w:p>
        </w:tc>
        <w:tc>
          <w:tcPr>
            <w:tcW w:w="3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5,968</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6,012</w:t>
            </w:r>
          </w:p>
        </w:tc>
        <w:tc>
          <w:tcPr>
            <w:tcW w:w="159"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1,838</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11,485</w:t>
            </w:r>
          </w:p>
        </w:tc>
        <w:tc>
          <w:tcPr>
            <w:tcW w:w="159"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Actual sales return and discount</w:t>
            </w:r>
          </w:p>
        </w:tc>
        <w:tc>
          <w:tcPr>
            <w:tcW w:w="3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(1,794</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(3,000</w:t>
            </w:r>
          </w:p>
        </w:tc>
        <w:tc>
          <w:tcPr>
            <w:tcW w:w="159" w:type="dxa"/>
            <w:tcBorders/>
            <w:vAlign w:val="bottom"/>
          </w:tcPr>
          <w:p>
            <w:pPr>
              <w:pStyle w:val="TableContents"/>
              <w:bidi w:val="0"/>
              <w:spacing w:before="0" w:after="283"/>
              <w:jc w:val="left"/>
              <w:rPr/>
            </w:pPr>
            <w:r>
              <w:rPr/>
              <w:t>) </w:t>
            </w:r>
          </w:p>
        </w:tc>
      </w:tr>
      <w:tr>
        <w:trPr/>
        <w:tc>
          <w:tcPr>
            <w:tcW w:w="4508"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end of period</w:t>
            </w:r>
          </w:p>
        </w:tc>
        <w:tc>
          <w:tcPr>
            <w:tcW w:w="3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6,012</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14,497</w:t>
            </w:r>
          </w:p>
        </w:tc>
        <w:tc>
          <w:tcPr>
            <w:tcW w:w="159" w:type="dxa"/>
            <w:tcBorders/>
            <w:shd w:fill="CCEEFF" w:val="clear"/>
            <w:vAlign w:val="bottom"/>
          </w:tcPr>
          <w:p>
            <w:pPr>
              <w:pStyle w:val="TableContents"/>
              <w:bidi w:val="0"/>
              <w:spacing w:before="0" w:after="283"/>
              <w:jc w:val="left"/>
              <w:rPr/>
            </w:pPr>
            <w:r>
              <w:rPr/>
              <w:t> </w:t>
            </w:r>
          </w:p>
        </w:tc>
      </w:tr>
      <w:tr>
        <w:trPr/>
        <w:tc>
          <w:tcPr>
            <w:tcW w:w="4508"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10. ACCRUED EXPENSES AND OTHER CURRENT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35"/>
        <w:gridCol w:w="292"/>
        <w:gridCol w:w="98"/>
        <w:gridCol w:w="1329"/>
        <w:gridCol w:w="60"/>
        <w:gridCol w:w="292"/>
        <w:gridCol w:w="61"/>
        <w:gridCol w:w="824"/>
        <w:gridCol w:w="64"/>
      </w:tblGrid>
      <w:tr>
        <w:trPr/>
        <w:tc>
          <w:tcPr>
            <w:tcW w:w="473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3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4"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bidi w:val="0"/>
              <w:spacing w:before="0" w:after="283"/>
              <w:jc w:val="center"/>
              <w:rPr>
                <w:b/>
              </w:rPr>
            </w:pPr>
            <w:r>
              <w:rPr>
                <w:b/>
              </w:rPr>
              <w:t>US$</w:t>
            </w:r>
          </w:p>
        </w:tc>
        <w:tc>
          <w:tcPr>
            <w:tcW w:w="64"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Wages and bonus</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65,718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97,574</w:t>
            </w:r>
          </w:p>
        </w:tc>
        <w:tc>
          <w:tcPr>
            <w:tcW w:w="64"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Dividends</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51,298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17,975</w:t>
            </w:r>
          </w:p>
        </w:tc>
        <w:tc>
          <w:tcPr>
            <w:tcW w:w="64"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fees and royalties</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12,801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15,139</w:t>
            </w:r>
          </w:p>
        </w:tc>
        <w:tc>
          <w:tcPr>
            <w:tcW w:w="64"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payable</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14,996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12,541</w:t>
            </w:r>
          </w:p>
        </w:tc>
        <w:tc>
          <w:tcPr>
            <w:tcW w:w="64"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Fixture</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3,558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2,835</w:t>
            </w:r>
          </w:p>
        </w:tc>
        <w:tc>
          <w:tcPr>
            <w:tcW w:w="64"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 current portion</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2,586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2,686</w:t>
            </w:r>
          </w:p>
        </w:tc>
        <w:tc>
          <w:tcPr>
            <w:tcW w:w="64"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4,218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15,619</w:t>
            </w:r>
          </w:p>
        </w:tc>
        <w:tc>
          <w:tcPr>
            <w:tcW w:w="64"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6,484</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7,348</w:t>
            </w:r>
          </w:p>
        </w:tc>
        <w:tc>
          <w:tcPr>
            <w:tcW w:w="64"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82,117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61,992</w:t>
            </w:r>
          </w:p>
        </w:tc>
        <w:tc>
          <w:tcPr>
            <w:tcW w:w="64"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 payment due</w:t>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6,610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292"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25,954</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33,510</w:t>
            </w:r>
          </w:p>
        </w:tc>
        <w:tc>
          <w:tcPr>
            <w:tcW w:w="64" w:type="dxa"/>
            <w:tcBorders/>
            <w:shd w:fill="CCEEFF" w:val="clear"/>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35" w:type="dxa"/>
            <w:tcBorders/>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276,340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267,219</w:t>
            </w:r>
          </w:p>
        </w:tc>
        <w:tc>
          <w:tcPr>
            <w:tcW w:w="64"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liabilities are comprised of deferred revenue and reflect the Company’s obligation to transfer goods or services primarily to a customer for which the Company has received consideration. The amount of revenue recognized during the six months ended June 30, 2026 that was included in the deferred revenue balance at December 31, 2025 was US$55,470 thousand. </w:t>
      </w:r>
    </w:p>
    <w:p>
      <w:pPr>
        <w:pStyle w:val="TextBody"/>
        <w:bidi w:val="0"/>
        <w:spacing w:before="240" w:after="0"/>
        <w:jc w:val="left"/>
        <w:rPr>
          <w:rFonts w:ascii="Times New Roman" w:hAnsi="Times New Roman"/>
          <w:sz w:val="20"/>
        </w:rPr>
      </w:pPr>
      <w:r>
        <w:rPr>
          <w:rFonts w:ascii="Times New Roman" w:hAnsi="Times New Roman"/>
          <w:sz w:val="20"/>
        </w:rPr>
        <w:t xml:space="preserve">As of the end of the reporting period, certain performance obligations associated with contracts remain unsatisfied or only partially satisfied. The Company has elected the practical expedient and does not disclose the value of unsatisfied performance obligations for contracts with an original expected duration of one year or less. </w:t>
      </w:r>
    </w:p>
    <w:p>
      <w:pPr>
        <w:pStyle w:val="TextBody"/>
        <w:bidi w:val="0"/>
        <w:spacing w:before="240" w:after="0"/>
        <w:jc w:val="left"/>
        <w:rPr>
          <w:rFonts w:ascii="Times New Roman" w:hAnsi="Times New Roman"/>
          <w:b/>
          <w:sz w:val="20"/>
        </w:rPr>
      </w:pPr>
      <w:r>
        <w:rPr>
          <w:rFonts w:ascii="Times New Roman" w:hAnsi="Times New Roman"/>
          <w:b/>
          <w:sz w:val="20"/>
        </w:rPr>
        <w:t xml:space="preserve">11. PENSION PLAN </w:t>
      </w:r>
    </w:p>
    <w:p>
      <w:pPr>
        <w:pStyle w:val="TextBody"/>
        <w:bidi w:val="0"/>
        <w:spacing w:before="240" w:after="0"/>
        <w:jc w:val="left"/>
        <w:rPr>
          <w:rFonts w:ascii="Times New Roman" w:hAnsi="Times New Roman"/>
          <w:sz w:val="20"/>
        </w:rPr>
      </w:pPr>
      <w:r>
        <w:rPr>
          <w:rFonts w:ascii="Times New Roman" w:hAnsi="Times New Roman"/>
          <w:sz w:val="20"/>
        </w:rPr>
        <w:t xml:space="preserve">SMI Taiwan, the Company’s largest operating company, is a Taiwan registered company and subject to Taiwan’s Labor Pension Act (the “New Act”), which became effective on July 1, 2005, and the pension mechanism under the New Act is deemed a defined contribution plan. The employees who were subject to the Labor Standards Law prior to July 1, 2005 (the “Old Act”) could choose to be subject to the pension mechanism under the New Act or continue to be subject to the pension mechanism under the Old Act. For those employees who were subject to the Old Act and still work for the Company after July 1, 2005 and have chosen to be subject to the Old Act, their seniority as of July 1, 2005 were maintained. The New Act prescribes that the rate of contribution by an employer to employees’ pension accounts per month will not be less than 6% of each employee’s monthly salary.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New Act, SMI Taiwan made monthly contributions and recognized pension costs of US$2,150 thousand and US$2,345 thousand for the six months ended June 30, 2025 and 2026,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12.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statutory income tax rate in the Cayman Islands was zero for the Company for the years being reported. The Company conducts its core business activities across East Asia, including China, Hong Kong, Macau, and Taiwan. The statutory tax rates in the jurisdictions the Company operates range from 12% to 21%. The Company recorded income tax expense of $1,273 thousand and $49,535 thousand for the six months ended June 30, 2025 and 2026, respectively. Income tax as a percentage of income before income tax was 2.70% and 19.19% for the six months ended June 30, 2025 and 2026, respectively. Our effective tax rate for the six months ended June 30, 2025, was lower than the applicable statutory tax rates in the jurisdictions in which the Company operates, primarily due to the reversal of an uncertain tax position based on the assessment of prior years’ income tax return filings. The recorded income tax expense is based on year-to-date pretax results, forecasted pretax results, forecasted annual tax expense and discrete adjustments for the respective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13. SHAREHOLDERS’ EQUITY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2015, the board of directors adopted a policy to declare the annual dividend to be paid in four quarterly installments. On October 28, 2024 and October 27, 2025, the board of directors declared annual dividends of US$2.0 per ADS, equivalent to US$0.5 per common share, for each respective year, payable in four quarterly installments. The Company’s quarterly dividends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82"/>
        <w:gridCol w:w="252"/>
        <w:gridCol w:w="84"/>
        <w:gridCol w:w="959"/>
        <w:gridCol w:w="60"/>
        <w:gridCol w:w="252"/>
        <w:gridCol w:w="78"/>
        <w:gridCol w:w="905"/>
        <w:gridCol w:w="60"/>
        <w:gridCol w:w="252"/>
        <w:gridCol w:w="84"/>
        <w:gridCol w:w="959"/>
        <w:gridCol w:w="60"/>
        <w:gridCol w:w="252"/>
        <w:gridCol w:w="77"/>
        <w:gridCol w:w="905"/>
        <w:gridCol w:w="67"/>
      </w:tblGrid>
      <w:tr>
        <w:trPr/>
        <w:tc>
          <w:tcPr>
            <w:tcW w:w="4082"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3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3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7" w:type="dxa"/>
            <w:tcBorders/>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pPr>
            <w:r>
              <w:rPr>
                <w:b/>
              </w:rPr>
              <w:t>Dividends</w:t>
              <w:br/>
              <w:t>Per Share</w:t>
            </w:r>
            <w:r>
              <w:rPr/>
              <w:br/>
            </w:r>
            <w:r>
              <w:rPr>
                <w:b/>
              </w:rPr>
              <w:t>(US$)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br/>
              <w:t>(in US$</w:t>
            </w:r>
            <w:r>
              <w:rPr/>
              <w:br/>
            </w:r>
            <w:r>
              <w:rPr>
                <w:b/>
              </w:rPr>
              <w:t>thousand)</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pPr>
            <w:r>
              <w:rPr>
                <w:b/>
              </w:rPr>
              <w:t>Dividends</w:t>
              <w:br/>
              <w:t>Per Share</w:t>
            </w:r>
            <w:r>
              <w:rPr/>
              <w:br/>
            </w:r>
            <w:r>
              <w:rPr>
                <w:b/>
              </w:rPr>
              <w:t>(US$)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br/>
              <w:t>(in US$</w:t>
            </w:r>
            <w:r>
              <w:rPr/>
              <w:br/>
            </w:r>
            <w:r>
              <w:rPr>
                <w:b/>
              </w:rPr>
              <w:t>thousand)</w:t>
            </w:r>
          </w:p>
        </w:tc>
        <w:tc>
          <w:tcPr>
            <w:tcW w:w="67" w:type="dxa"/>
            <w:tcBorders/>
            <w:vAlign w:val="bottom"/>
          </w:tcPr>
          <w:p>
            <w:pPr>
              <w:pStyle w:val="TableContents"/>
              <w:bidi w:val="0"/>
              <w:spacing w:before="0" w:after="283"/>
              <w:jc w:val="left"/>
              <w:rPr/>
            </w:pPr>
            <w:r>
              <w:rPr/>
              <w:t> </w:t>
            </w:r>
          </w:p>
        </w:tc>
      </w:tr>
      <w:tr>
        <w:trPr/>
        <w:tc>
          <w:tcPr>
            <w:tcW w:w="4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0.1250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16,988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0.1250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16,950</w:t>
            </w:r>
          </w:p>
        </w:tc>
        <w:tc>
          <w:tcPr>
            <w:tcW w:w="67" w:type="dxa"/>
            <w:tcBorders/>
            <w:shd w:fill="CCEEFF" w:val="clear"/>
            <w:vAlign w:val="bottom"/>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0.1250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16,779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0.1250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16,954</w:t>
            </w:r>
          </w:p>
        </w:tc>
        <w:tc>
          <w:tcPr>
            <w:tcW w:w="67" w:type="dxa"/>
            <w:tcBorders/>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82" w:type="dxa"/>
            <w:tcBorders/>
            <w:shd w:fill="CCEEFF" w:val="clear"/>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33,767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9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33,904</w:t>
            </w:r>
          </w:p>
        </w:tc>
        <w:tc>
          <w:tcPr>
            <w:tcW w:w="67" w:type="dxa"/>
            <w:tcBorders/>
            <w:shd w:fill="CCEEFF" w:val="cle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2025 and 2026, dividend adjustments of $8 thousand and $515 thousand, respectively, were primarily related to RSUs that vested and became outstanding ordinary shares during the period. Future dividends, if any, will be declared by and subject to the discretion of the Company’s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Share Repurchase </w:t>
      </w:r>
    </w:p>
    <w:p>
      <w:pPr>
        <w:pStyle w:val="TextBody"/>
        <w:bidi w:val="0"/>
        <w:spacing w:before="240" w:after="0"/>
        <w:jc w:val="left"/>
        <w:rPr>
          <w:rFonts w:ascii="Times New Roman" w:hAnsi="Times New Roman"/>
          <w:sz w:val="20"/>
        </w:rPr>
      </w:pPr>
      <w:r>
        <w:rPr>
          <w:rFonts w:ascii="Times New Roman" w:hAnsi="Times New Roman"/>
          <w:sz w:val="20"/>
        </w:rPr>
        <w:t xml:space="preserve">On February 6, 2025, the board of directors of the Company authorized the repurchase of up to US$50 million of the Company’s ADSs over a 6-month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2025, the Company repurchased 426 thousand ADSs at a total cost of US$24,312 thousand. The weighted average purchase price per ADS repurchased was US$57.04. The authorized repurchase program was completed in August 2025. </w:t>
      </w:r>
    </w:p>
    <w:p>
      <w:pPr>
        <w:pStyle w:val="TextBody"/>
        <w:bidi w:val="0"/>
        <w:spacing w:before="240" w:after="0"/>
        <w:jc w:val="left"/>
        <w:rPr>
          <w:rFonts w:ascii="Times New Roman" w:hAnsi="Times New Roman"/>
          <w:b/>
          <w:sz w:val="20"/>
        </w:rPr>
      </w:pPr>
      <w:r>
        <w:rPr>
          <w:rFonts w:ascii="Times New Roman" w:hAnsi="Times New Roman"/>
          <w:b/>
          <w:sz w:val="20"/>
        </w:rPr>
        <w:t xml:space="preserve">14. EQUITY INCENTIVE PLAN </w:t>
      </w:r>
    </w:p>
    <w:p>
      <w:pPr>
        <w:pStyle w:val="TextBody"/>
        <w:bidi w:val="0"/>
        <w:spacing w:before="240" w:after="0"/>
        <w:jc w:val="left"/>
        <w:rPr>
          <w:rFonts w:ascii="Times New Roman" w:hAnsi="Times New Roman"/>
          <w:sz w:val="20"/>
        </w:rPr>
      </w:pPr>
      <w:r>
        <w:rPr>
          <w:rFonts w:ascii="Times New Roman" w:hAnsi="Times New Roman"/>
          <w:b/>
          <w:i/>
          <w:sz w:val="20"/>
        </w:rPr>
        <w:t xml:space="preserve">2015 Equity </w:t>
      </w:r>
      <w:r>
        <w:rPr>
          <w:rFonts w:ascii="Times New Roman" w:hAnsi="Times New Roman"/>
          <w:b/>
          <w:sz w:val="20"/>
        </w:rPr>
        <w:t xml:space="preserve">Incentive </w:t>
      </w:r>
      <w:r>
        <w:rPr>
          <w:rFonts w:ascii="Times New Roman" w:hAnsi="Times New Roman"/>
          <w:b/>
          <w:i/>
          <w:sz w:val="20"/>
        </w:rPr>
        <w:t xml:space="preserve">Plan and 2025 Equity </w:t>
      </w:r>
      <w:r>
        <w:rPr>
          <w:rFonts w:ascii="Times New Roman" w:hAnsi="Times New Roman"/>
          <w:b/>
          <w:sz w:val="20"/>
        </w:rPr>
        <w:t xml:space="preserve">Incentive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units are converted into the Company’s ordinary shares upon vesting on one-for-one basis. The vesting of restricted stock unit is subject to the employee’s continuing service to the Company. The cost of these awards is determined using the fair value of the Company’s ordinary share on the date of the grant, and compensation is recognized on a straight-line basis over the requisite service period. The Company’s restricted stock units are considered non-vested share awards as defined under ASC 718. </w:t>
      </w:r>
    </w:p>
    <w:p>
      <w:pPr>
        <w:pStyle w:val="TextBody"/>
        <w:bidi w:val="0"/>
        <w:spacing w:before="240" w:after="0"/>
        <w:jc w:val="left"/>
        <w:rPr>
          <w:rFonts w:ascii="Times New Roman" w:hAnsi="Times New Roman"/>
          <w:sz w:val="20"/>
        </w:rPr>
      </w:pPr>
      <w:r>
        <w:rPr>
          <w:rFonts w:ascii="Times New Roman" w:hAnsi="Times New Roman"/>
          <w:sz w:val="20"/>
        </w:rPr>
        <w:t xml:space="preserve">On June 3, 2015, the Company adopted its 2015 Equity Incentive Plan (“the 2015 Plan”). The 2015 Plan provides for the grant of stock options, stock bonuses, restricted stock awards, restricted stock units and stock appreciation rights, which may be granted to employees (including officers), directors and consultants. The 2015 Plan reserved 20,000 thousand shares of ordinary shares for issuance upon exercise of stock options and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On June 4, 2025, the Company adopted its 2025 Equity Incentive Plan (“the 2025 Plan”). The 2025 Plan provides for the grant of stock options, stock bonuses, restricted stock awards, restricted stock units and stock appreciation rights, which may be granted to employees (including officers), directors and consultants. The 2025 Plan reserved 20,000 thousand shares of ordinary shares for issuance upon exercise of stock options and restricted stock units. </w:t>
      </w:r>
    </w:p>
    <w:p>
      <w:pPr>
        <w:pStyle w:val="TextBody"/>
        <w:bidi w:val="0"/>
        <w:spacing w:before="240" w:after="0"/>
        <w:jc w:val="left"/>
        <w:rPr>
          <w:rFonts w:ascii="Times New Roman" w:hAnsi="Times New Roman"/>
          <w:b/>
          <w:sz w:val="20"/>
        </w:rPr>
      </w:pPr>
      <w:r>
        <w:rPr>
          <w:rFonts w:ascii="Times New Roman" w:hAnsi="Times New Roman"/>
          <w:b/>
          <w:sz w:val="20"/>
        </w:rPr>
        <w:t xml:space="preserve">Restricted Stock Units Activity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2015 Plan and the 2025 Plan, which includes restricted stock units: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81"/>
        <w:gridCol w:w="523"/>
        <w:gridCol w:w="119"/>
        <w:gridCol w:w="1358"/>
        <w:gridCol w:w="158"/>
      </w:tblGrid>
      <w:tr>
        <w:trPr/>
        <w:tc>
          <w:tcPr>
            <w:tcW w:w="4781"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pPr>
            <w:r>
              <w:rPr>
                <w:b/>
              </w:rPr>
              <w:t>Unit</w:t>
            </w:r>
            <w:r>
              <w:rPr/>
              <w:br/>
            </w:r>
            <w:r>
              <w:rPr>
                <w:b/>
              </w:rPr>
              <w:t>(in Thousands)</w:t>
            </w:r>
          </w:p>
        </w:tc>
        <w:tc>
          <w:tcPr>
            <w:tcW w:w="158" w:type="dxa"/>
            <w:tcBorders/>
            <w:vAlign w:val="bottom"/>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 for grant at December 31, 2024</w:t>
            </w:r>
          </w:p>
        </w:tc>
        <w:tc>
          <w:tcPr>
            <w:tcW w:w="52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7,800</w:t>
            </w:r>
          </w:p>
        </w:tc>
        <w:tc>
          <w:tcPr>
            <w:tcW w:w="158" w:type="dxa"/>
            <w:tcBorders/>
            <w:shd w:fill="CCEEFF" w:val="clear"/>
            <w:vAlign w:val="bottom"/>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Authorized-2025 Plan</w:t>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20,000</w:t>
            </w:r>
          </w:p>
        </w:tc>
        <w:tc>
          <w:tcPr>
            <w:tcW w:w="158" w:type="dxa"/>
            <w:tcBorders/>
            <w:vAlign w:val="bottom"/>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Expired-2015 Plan</w:t>
            </w:r>
          </w:p>
        </w:tc>
        <w:tc>
          <w:tcPr>
            <w:tcW w:w="52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(7,749</w:t>
            </w:r>
          </w:p>
        </w:tc>
        <w:tc>
          <w:tcPr>
            <w:tcW w:w="158" w:type="dxa"/>
            <w:tcBorders/>
            <w:shd w:fill="CCEEFF" w:val="clear"/>
            <w:vAlign w:val="bottom"/>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(81</w:t>
            </w:r>
          </w:p>
        </w:tc>
        <w:tc>
          <w:tcPr>
            <w:tcW w:w="158" w:type="dxa"/>
            <w:tcBorders/>
            <w:vAlign w:val="bottom"/>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52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Available for grant at June 30, 2025</w:t>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19,975</w:t>
            </w:r>
          </w:p>
        </w:tc>
        <w:tc>
          <w:tcPr>
            <w:tcW w:w="158" w:type="dxa"/>
            <w:tcBorders/>
            <w:vAlign w:val="bottom"/>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 for grant at December 31, 2025</w:t>
            </w:r>
          </w:p>
        </w:tc>
        <w:tc>
          <w:tcPr>
            <w:tcW w:w="52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18,615</w:t>
            </w:r>
          </w:p>
        </w:tc>
        <w:tc>
          <w:tcPr>
            <w:tcW w:w="158" w:type="dxa"/>
            <w:tcBorders/>
            <w:shd w:fill="CCEEFF" w:val="clear"/>
            <w:vAlign w:val="bottom"/>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(1,308</w:t>
            </w:r>
          </w:p>
        </w:tc>
        <w:tc>
          <w:tcPr>
            <w:tcW w:w="158" w:type="dxa"/>
            <w:tcBorders/>
            <w:vAlign w:val="bottom"/>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52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Available for grant at June 30, 2026</w:t>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17,307</w:t>
            </w:r>
          </w:p>
        </w:tc>
        <w:tc>
          <w:tcPr>
            <w:tcW w:w="158" w:type="dxa"/>
            <w:tcBorders/>
            <w:vAlign w:val="bottom"/>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related tax effect for stock-based compensation benefit (expense) was US$573 thousand for the six months ended June 30, 2026, compared to US$293 thousand for the corresponding period in 2025. The related tax benefit from stock-based compensation expense for restricted stock units exercised during the six months ended June 30, 2026 was US$5,701 thousand, and US$3,330 thousand for the corresponding period in 2025. The related tax effect was determined using applicable tax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status of restricted stock units and changes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294"/>
        <w:gridCol w:w="217"/>
        <w:gridCol w:w="204"/>
        <w:gridCol w:w="2189"/>
        <w:gridCol w:w="155"/>
        <w:gridCol w:w="209"/>
        <w:gridCol w:w="184"/>
        <w:gridCol w:w="1727"/>
        <w:gridCol w:w="60"/>
        <w:gridCol w:w="217"/>
        <w:gridCol w:w="244"/>
        <w:gridCol w:w="1808"/>
        <w:gridCol w:w="64"/>
      </w:tblGrid>
      <w:tr>
        <w:trPr/>
        <w:tc>
          <w:tcPr>
            <w:tcW w:w="1294"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9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39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911" w:type="dxa"/>
            <w:gridSpan w:val="2"/>
            <w:tcBorders/>
            <w:vAlign w:val="bottom"/>
          </w:tcPr>
          <w:p>
            <w:pPr>
              <w:pStyle w:val="TableContents"/>
              <w:bidi w:val="0"/>
              <w:spacing w:before="0" w:after="283"/>
              <w:jc w:val="center"/>
              <w:rPr>
                <w:b/>
              </w:rPr>
            </w:pPr>
            <w:r>
              <w:rPr>
                <w:b/>
              </w:rPr>
              <w:t>Weighted Average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052" w:type="dxa"/>
            <w:gridSpan w:val="2"/>
            <w:tcBorders/>
            <w:vAlign w:val="bottom"/>
          </w:tcPr>
          <w:p>
            <w:pPr>
              <w:pStyle w:val="TableContents"/>
              <w:bidi w:val="0"/>
              <w:spacing w:before="0" w:after="283"/>
              <w:jc w:val="center"/>
              <w:rPr>
                <w:b/>
              </w:rPr>
            </w:pPr>
            <w:r>
              <w:rPr>
                <w:b/>
              </w:rPr>
              <w:t>Weighted</w:t>
            </w:r>
          </w:p>
        </w:tc>
        <w:tc>
          <w:tcPr>
            <w:tcW w:w="64" w:type="dxa"/>
            <w:tcBorders/>
            <w:vAlign w:val="bottom"/>
          </w:tcPr>
          <w:p>
            <w:pPr>
              <w:pStyle w:val="TableContents"/>
              <w:bidi w:val="0"/>
              <w:spacing w:before="0" w:after="283"/>
              <w:jc w:val="left"/>
              <w:rPr/>
            </w:pPr>
            <w:r>
              <w:rPr/>
              <w:t> </w:t>
            </w:r>
          </w:p>
        </w:tc>
      </w:tr>
      <w:tr>
        <w:trPr/>
        <w:tc>
          <w:tcPr>
            <w:tcW w:w="129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393" w:type="dxa"/>
            <w:gridSpan w:val="2"/>
            <w:tcBorders/>
            <w:vAlign w:val="bottom"/>
          </w:tcPr>
          <w:p>
            <w:pPr>
              <w:pStyle w:val="TableContents"/>
              <w:bidi w:val="0"/>
              <w:spacing w:before="0" w:after="283"/>
              <w:jc w:val="center"/>
              <w:rPr>
                <w:b/>
              </w:rPr>
            </w:pPr>
            <w:r>
              <w:rPr>
                <w:b/>
              </w:rPr>
              <w:t>Number of</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911" w:type="dxa"/>
            <w:gridSpan w:val="2"/>
            <w:tcBorders/>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052" w:type="dxa"/>
            <w:gridSpan w:val="2"/>
            <w:tcBorders/>
            <w:vAlign w:val="bottom"/>
          </w:tcPr>
          <w:p>
            <w:pPr>
              <w:pStyle w:val="TableContents"/>
              <w:bidi w:val="0"/>
              <w:spacing w:before="0" w:after="283"/>
              <w:jc w:val="center"/>
              <w:rPr>
                <w:b/>
              </w:rPr>
            </w:pPr>
            <w:r>
              <w:rPr>
                <w:b/>
              </w:rPr>
              <w:t>Average Remaining</w:t>
            </w:r>
          </w:p>
        </w:tc>
        <w:tc>
          <w:tcPr>
            <w:tcW w:w="64" w:type="dxa"/>
            <w:tcBorders/>
            <w:vAlign w:val="bottom"/>
          </w:tcPr>
          <w:p>
            <w:pPr>
              <w:pStyle w:val="TableContents"/>
              <w:bidi w:val="0"/>
              <w:spacing w:before="0" w:after="283"/>
              <w:jc w:val="left"/>
              <w:rPr/>
            </w:pPr>
            <w:r>
              <w:rPr/>
              <w:t> </w:t>
            </w:r>
          </w:p>
        </w:tc>
      </w:tr>
      <w:tr>
        <w:trPr/>
        <w:tc>
          <w:tcPr>
            <w:tcW w:w="129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393" w:type="dxa"/>
            <w:gridSpan w:val="2"/>
            <w:tcBorders>
              <w:bottom w:val="single" w:sz="8" w:space="0" w:color="000000"/>
            </w:tcBorders>
            <w:tcMar>
              <w:bottom w:w="28" w:type="dxa"/>
            </w:tcMar>
            <w:vAlign w:val="bottom"/>
          </w:tcPr>
          <w:p>
            <w:pPr>
              <w:pStyle w:val="TableContents"/>
              <w:bidi w:val="0"/>
              <w:spacing w:before="0" w:after="283"/>
              <w:jc w:val="center"/>
              <w:rPr/>
            </w:pPr>
            <w:r>
              <w:rPr>
                <w:b/>
              </w:rPr>
              <w:t>Non-vested Stock Units</w:t>
            </w:r>
            <w:r>
              <w:rPr/>
              <w:br/>
            </w:r>
            <w:r>
              <w:rPr>
                <w:b/>
              </w:rPr>
              <w:t>(in Thousands)</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911" w:type="dxa"/>
            <w:gridSpan w:val="2"/>
            <w:tcBorders>
              <w:bottom w:val="single" w:sz="8" w:space="0" w:color="000000"/>
            </w:tcBorders>
            <w:tcMar>
              <w:bottom w:w="28" w:type="dxa"/>
            </w:tcMar>
            <w:vAlign w:val="bottom"/>
          </w:tcPr>
          <w:p>
            <w:pPr>
              <w:pStyle w:val="TableContents"/>
              <w:bidi w:val="0"/>
              <w:spacing w:before="0" w:after="283"/>
              <w:jc w:val="center"/>
              <w:rPr/>
            </w:pPr>
            <w:r>
              <w:rPr>
                <w:b/>
              </w:rPr>
              <w:t>Fair Value</w:t>
            </w:r>
            <w:r>
              <w:rPr/>
              <w:br/>
            </w:r>
            <w:r>
              <w:rPr>
                <w:b/>
              </w:rPr>
              <w:t>(US$)</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052" w:type="dxa"/>
            <w:gridSpan w:val="2"/>
            <w:tcBorders>
              <w:bottom w:val="single" w:sz="8" w:space="0" w:color="000000"/>
            </w:tcBorders>
            <w:tcMar>
              <w:bottom w:w="28" w:type="dxa"/>
            </w:tcMar>
            <w:vAlign w:val="bottom"/>
          </w:tcPr>
          <w:p>
            <w:pPr>
              <w:pStyle w:val="TableContents"/>
              <w:bidi w:val="0"/>
              <w:spacing w:before="0" w:after="283"/>
              <w:jc w:val="center"/>
              <w:rPr/>
            </w:pPr>
            <w:r>
              <w:rPr>
                <w:b/>
              </w:rPr>
              <w:t>Recognition Period</w:t>
            </w:r>
            <w:r>
              <w:rPr/>
              <w:br/>
            </w:r>
            <w:r>
              <w:rPr>
                <w:b/>
              </w:rPr>
              <w:t>(Years)</w:t>
            </w:r>
          </w:p>
        </w:tc>
        <w:tc>
          <w:tcPr>
            <w:tcW w:w="64" w:type="dxa"/>
            <w:tcBorders/>
            <w:vAlign w:val="bottom"/>
          </w:tcPr>
          <w:p>
            <w:pPr>
              <w:pStyle w:val="TableContents"/>
              <w:bidi w:val="0"/>
              <w:spacing w:before="0" w:after="283"/>
              <w:jc w:val="left"/>
              <w:rPr/>
            </w:pPr>
            <w:r>
              <w:rPr/>
              <w:t> </w:t>
            </w:r>
          </w:p>
        </w:tc>
      </w:tr>
      <w:tr>
        <w:trPr/>
        <w:tc>
          <w:tcPr>
            <w:tcW w:w="1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December 31, 2024</w:t>
            </w:r>
          </w:p>
        </w:tc>
        <w:tc>
          <w:tcPr>
            <w:tcW w:w="2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89" w:type="dxa"/>
            <w:tcBorders/>
            <w:shd w:fill="CCEEFF" w:val="clear"/>
            <w:vAlign w:val="bottom"/>
          </w:tcPr>
          <w:p>
            <w:pPr>
              <w:pStyle w:val="TableContents"/>
              <w:bidi w:val="0"/>
              <w:spacing w:before="0" w:after="283"/>
              <w:jc w:val="right"/>
              <w:rPr/>
            </w:pPr>
            <w:r>
              <w:rPr/>
              <w:t>1,208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27" w:type="dxa"/>
            <w:tcBorders/>
            <w:shd w:fill="CCEEFF" w:val="clear"/>
            <w:vAlign w:val="bottom"/>
          </w:tcPr>
          <w:p>
            <w:pPr>
              <w:pStyle w:val="TableContents"/>
              <w:bidi w:val="0"/>
              <w:spacing w:before="0" w:after="283"/>
              <w:jc w:val="right"/>
              <w:rPr/>
            </w:pPr>
            <w:r>
              <w:rPr/>
              <w:t>15.68</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808" w:type="dxa"/>
            <w:tcBorders/>
            <w:shd w:fill="CCEEFF" w:val="clear"/>
            <w:vAlign w:val="bottom"/>
          </w:tcPr>
          <w:p>
            <w:pPr>
              <w:pStyle w:val="TableContents"/>
              <w:bidi w:val="0"/>
              <w:spacing w:before="0" w:after="283"/>
              <w:jc w:val="right"/>
              <w:rPr/>
            </w:pPr>
            <w:r>
              <w:rPr/>
              <w:t>0.25</w:t>
            </w:r>
          </w:p>
        </w:tc>
        <w:tc>
          <w:tcPr>
            <w:tcW w:w="64" w:type="dxa"/>
            <w:tcBorders/>
            <w:shd w:fill="CCEEFF" w:val="clear"/>
            <w:vAlign w:val="bottom"/>
          </w:tcPr>
          <w:p>
            <w:pPr>
              <w:pStyle w:val="TableContents"/>
              <w:bidi w:val="0"/>
              <w:spacing w:before="0" w:after="283"/>
              <w:jc w:val="left"/>
              <w:rPr/>
            </w:pPr>
            <w:r>
              <w:rPr/>
              <w:t> </w:t>
            </w:r>
          </w:p>
        </w:tc>
      </w:tr>
      <w:tr>
        <w:trPr/>
        <w:tc>
          <w:tcPr>
            <w:tcW w:w="129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89"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27" w:type="dxa"/>
            <w:tcBorders/>
            <w:vAlign w:val="bottom"/>
          </w:tcPr>
          <w:p>
            <w:pPr>
              <w:pStyle w:val="TableContents"/>
              <w:bidi w:val="0"/>
              <w:spacing w:before="0" w:after="283"/>
              <w:jc w:val="right"/>
              <w:rPr/>
            </w:pPr>
            <w:r>
              <w:rPr/>
              <w:t>14.64</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8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units vested</w:t>
            </w:r>
          </w:p>
        </w:tc>
        <w:tc>
          <w:tcPr>
            <w:tcW w:w="2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89"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27" w:type="dxa"/>
            <w:tcBorders/>
            <w:shd w:fill="CCEEFF" w:val="clear"/>
            <w:vAlign w:val="bottom"/>
          </w:tcPr>
          <w:p>
            <w:pPr>
              <w:pStyle w:val="TableContents"/>
              <w:bidi w:val="0"/>
              <w:spacing w:before="0" w:after="283"/>
              <w:jc w:val="right"/>
              <w:rPr/>
            </w:pPr>
            <w:r>
              <w:rPr/>
              <w:t>15.62</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8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129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8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27" w:type="dxa"/>
            <w:tcBorders/>
            <w:vAlign w:val="bottom"/>
          </w:tcPr>
          <w:p>
            <w:pPr>
              <w:pStyle w:val="TableContents"/>
              <w:bidi w:val="0"/>
              <w:spacing w:before="0" w:after="283"/>
              <w:jc w:val="right"/>
              <w:rPr/>
            </w:pPr>
            <w:r>
              <w:rPr/>
              <w:t>18.11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8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9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2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7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8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June 30, 2025</w:t>
            </w:r>
          </w:p>
        </w:tc>
        <w:tc>
          <w:tcPr>
            <w:tcW w:w="2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89"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27" w:type="dxa"/>
            <w:tcBorders/>
            <w:shd w:fill="CCEEFF" w:val="clear"/>
            <w:vAlign w:val="bottom"/>
          </w:tcPr>
          <w:p>
            <w:pPr>
              <w:pStyle w:val="TableContents"/>
              <w:bidi w:val="0"/>
              <w:spacing w:before="0" w:after="283"/>
              <w:jc w:val="right"/>
              <w:rPr/>
            </w:pPr>
            <w:r>
              <w:rPr/>
              <w:t>15.28</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808" w:type="dxa"/>
            <w:tcBorders/>
            <w:shd w:fill="CCEEFF" w:val="clear"/>
            <w:vAlign w:val="bottom"/>
          </w:tcPr>
          <w:p>
            <w:pPr>
              <w:pStyle w:val="TableContents"/>
              <w:bidi w:val="0"/>
              <w:spacing w:before="0" w:after="283"/>
              <w:jc w:val="right"/>
              <w:rPr/>
            </w:pPr>
            <w:r>
              <w:rPr/>
              <w:t>1.97</w:t>
            </w:r>
          </w:p>
        </w:tc>
        <w:tc>
          <w:tcPr>
            <w:tcW w:w="64" w:type="dxa"/>
            <w:tcBorders/>
            <w:shd w:fill="CCEEFF" w:val="clear"/>
            <w:vAlign w:val="bottom"/>
          </w:tcPr>
          <w:p>
            <w:pPr>
              <w:pStyle w:val="TableContents"/>
              <w:bidi w:val="0"/>
              <w:spacing w:before="0" w:after="283"/>
              <w:jc w:val="left"/>
              <w:rPr/>
            </w:pPr>
            <w:r>
              <w:rPr/>
              <w:t> </w:t>
            </w:r>
          </w:p>
        </w:tc>
      </w:tr>
      <w:tr>
        <w:trPr/>
        <w:tc>
          <w:tcPr>
            <w:tcW w:w="129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2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7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8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94" w:type="dxa"/>
            <w:tcBorders/>
          </w:tcPr>
          <w:p>
            <w:pPr>
              <w:pStyle w:val="TableContents"/>
              <w:bidi w:val="0"/>
              <w:spacing w:before="0" w:after="0"/>
              <w:jc w:val="left"/>
              <w:rPr>
                <w:rFonts w:ascii="Times New Roman" w:hAnsi="Times New Roman"/>
                <w:sz w:val="20"/>
              </w:rPr>
            </w:pPr>
            <w:r>
              <w:rPr>
                <w:rFonts w:ascii="Times New Roman" w:hAnsi="Times New Roman"/>
                <w:sz w:val="20"/>
              </w:rPr>
              <w:t>Non-vested at December 31, 2025</w:t>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89" w:type="dxa"/>
            <w:tcBorders/>
            <w:vAlign w:val="bottom"/>
          </w:tcPr>
          <w:p>
            <w:pPr>
              <w:pStyle w:val="TableContents"/>
              <w:bidi w:val="0"/>
              <w:spacing w:before="0" w:after="283"/>
              <w:jc w:val="right"/>
              <w:rPr/>
            </w:pPr>
            <w:r>
              <w:rPr/>
              <w:t>1,458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27" w:type="dxa"/>
            <w:tcBorders/>
            <w:vAlign w:val="bottom"/>
          </w:tcPr>
          <w:p>
            <w:pPr>
              <w:pStyle w:val="TableContents"/>
              <w:bidi w:val="0"/>
              <w:spacing w:before="0" w:after="283"/>
              <w:jc w:val="right"/>
              <w:rPr/>
            </w:pPr>
            <w:r>
              <w:rPr/>
              <w:t>19.46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808" w:type="dxa"/>
            <w:tcBorders/>
            <w:vAlign w:val="bottom"/>
          </w:tcPr>
          <w:p>
            <w:pPr>
              <w:pStyle w:val="TableContents"/>
              <w:bidi w:val="0"/>
              <w:spacing w:before="0" w:after="283"/>
              <w:jc w:val="right"/>
              <w:rPr/>
            </w:pPr>
            <w:r>
              <w:rPr/>
              <w:t>0.29</w:t>
            </w:r>
          </w:p>
        </w:tc>
        <w:tc>
          <w:tcPr>
            <w:tcW w:w="64" w:type="dxa"/>
            <w:tcBorders/>
            <w:vAlign w:val="bottom"/>
          </w:tcPr>
          <w:p>
            <w:pPr>
              <w:pStyle w:val="TableContents"/>
              <w:bidi w:val="0"/>
              <w:spacing w:before="0" w:after="283"/>
              <w:jc w:val="left"/>
              <w:rPr/>
            </w:pPr>
            <w:r>
              <w:rPr/>
              <w:t> </w:t>
            </w:r>
          </w:p>
        </w:tc>
      </w:tr>
      <w:tr>
        <w:trPr/>
        <w:tc>
          <w:tcPr>
            <w:tcW w:w="1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2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89" w:type="dxa"/>
            <w:tcBorders/>
            <w:shd w:fill="CCEEFF" w:val="clear"/>
            <w:vAlign w:val="bottom"/>
          </w:tcPr>
          <w:p>
            <w:pPr>
              <w:pStyle w:val="TableContents"/>
              <w:bidi w:val="0"/>
              <w:spacing w:before="0" w:after="283"/>
              <w:jc w:val="right"/>
              <w:rPr/>
            </w:pPr>
            <w:r>
              <w:rPr/>
              <w:t>1,308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27" w:type="dxa"/>
            <w:tcBorders/>
            <w:shd w:fill="CCEEFF" w:val="clear"/>
            <w:vAlign w:val="bottom"/>
          </w:tcPr>
          <w:p>
            <w:pPr>
              <w:pStyle w:val="TableContents"/>
              <w:bidi w:val="0"/>
              <w:spacing w:before="0" w:after="283"/>
              <w:jc w:val="right"/>
              <w:rPr/>
            </w:pPr>
            <w:r>
              <w:rPr/>
              <w:t>29.80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8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129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vested</w:t>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89" w:type="dxa"/>
            <w:tcBorders/>
            <w:vAlign w:val="bottom"/>
          </w:tcPr>
          <w:p>
            <w:pPr>
              <w:pStyle w:val="TableContents"/>
              <w:bidi w:val="0"/>
              <w:spacing w:before="0" w:after="283"/>
              <w:jc w:val="right"/>
              <w:rPr/>
            </w:pPr>
            <w:r>
              <w:rPr/>
              <w:t>(1,386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27" w:type="dxa"/>
            <w:tcBorders/>
            <w:vAlign w:val="bottom"/>
          </w:tcPr>
          <w:p>
            <w:pPr>
              <w:pStyle w:val="TableContents"/>
              <w:bidi w:val="0"/>
              <w:spacing w:before="0" w:after="283"/>
              <w:jc w:val="right"/>
              <w:rPr/>
            </w:pPr>
            <w:r>
              <w:rPr/>
              <w:t>19.89</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8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9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2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7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8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June 30, 2026</w:t>
            </w:r>
          </w:p>
        </w:tc>
        <w:tc>
          <w:tcPr>
            <w:tcW w:w="2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89"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27" w:type="dxa"/>
            <w:tcBorders/>
            <w:shd w:fill="CCEEFF" w:val="clear"/>
            <w:vAlign w:val="bottom"/>
          </w:tcPr>
          <w:p>
            <w:pPr>
              <w:pStyle w:val="TableContents"/>
              <w:bidi w:val="0"/>
              <w:spacing w:before="0" w:after="283"/>
              <w:jc w:val="right"/>
              <w:rPr/>
            </w:pPr>
            <w:r>
              <w:rPr/>
              <w:t>28.81</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808" w:type="dxa"/>
            <w:tcBorders/>
            <w:shd w:fill="CCEEFF" w:val="clear"/>
            <w:vAlign w:val="bottom"/>
          </w:tcPr>
          <w:p>
            <w:pPr>
              <w:pStyle w:val="TableContents"/>
              <w:bidi w:val="0"/>
              <w:spacing w:before="0" w:after="283"/>
              <w:jc w:val="right"/>
              <w:rPr/>
            </w:pPr>
            <w:r>
              <w:rPr/>
              <w:t>1.66</w:t>
            </w:r>
          </w:p>
        </w:tc>
        <w:tc>
          <w:tcPr>
            <w:tcW w:w="64" w:type="dxa"/>
            <w:tcBorders/>
            <w:shd w:fill="CCEEFF" w:val="clear"/>
            <w:vAlign w:val="bottom"/>
          </w:tcPr>
          <w:p>
            <w:pPr>
              <w:pStyle w:val="TableContents"/>
              <w:bidi w:val="0"/>
              <w:spacing w:before="0" w:after="283"/>
              <w:jc w:val="left"/>
              <w:rPr/>
            </w:pPr>
            <w:r>
              <w:rPr/>
              <w:t> </w:t>
            </w:r>
          </w:p>
        </w:tc>
      </w:tr>
      <w:tr>
        <w:trPr/>
        <w:tc>
          <w:tcPr>
            <w:tcW w:w="129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2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7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8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there was US$1,446 thousand of total unrecognized compensation cost related to restricted stock units granted under the 2015 Plan and the 2025 Plan. </w:t>
      </w:r>
    </w:p>
    <w:p>
      <w:pPr>
        <w:pStyle w:val="TextBody"/>
        <w:bidi w:val="0"/>
        <w:spacing w:before="240" w:after="0"/>
        <w:jc w:val="left"/>
        <w:rPr>
          <w:rFonts w:ascii="Times New Roman" w:hAnsi="Times New Roman"/>
          <w:b/>
          <w:sz w:val="20"/>
        </w:rPr>
      </w:pPr>
      <w:r>
        <w:rPr>
          <w:rFonts w:ascii="Times New Roman" w:hAnsi="Times New Roman"/>
          <w:b/>
          <w:sz w:val="20"/>
        </w:rPr>
        <w:t xml:space="preserve">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total stock-based compensation expense included in the Consolidated Statements of Income for the six months ended June 30, 2025 and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59"/>
        <w:gridCol w:w="192"/>
        <w:gridCol w:w="60"/>
        <w:gridCol w:w="569"/>
        <w:gridCol w:w="60"/>
        <w:gridCol w:w="192"/>
        <w:gridCol w:w="60"/>
        <w:gridCol w:w="699"/>
        <w:gridCol w:w="64"/>
      </w:tblGrid>
      <w:tr>
        <w:trPr/>
        <w:tc>
          <w:tcPr>
            <w:tcW w:w="5859"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5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4" w:type="dxa"/>
            <w:tcBorders/>
            <w:vAlign w:val="bottom"/>
          </w:tcPr>
          <w:p>
            <w:pPr>
              <w:pStyle w:val="TableContents"/>
              <w:bidi w:val="0"/>
              <w:spacing w:before="0" w:after="283"/>
              <w:jc w:val="left"/>
              <w:rPr/>
            </w:pPr>
            <w:r>
              <w:rPr/>
              <w:t> </w:t>
            </w:r>
          </w:p>
        </w:tc>
      </w:tr>
      <w:tr>
        <w:trPr/>
        <w:tc>
          <w:tcPr>
            <w:tcW w:w="585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4" w:type="dxa"/>
            <w:tcBorders/>
            <w:vAlign w:val="bottom"/>
          </w:tcPr>
          <w:p>
            <w:pPr>
              <w:pStyle w:val="TableContents"/>
              <w:bidi w:val="0"/>
              <w:spacing w:before="0" w:after="283"/>
              <w:jc w:val="left"/>
              <w:rPr/>
            </w:pPr>
            <w:r>
              <w:rPr/>
              <w:t> </w:t>
            </w:r>
          </w:p>
        </w:tc>
      </w:tr>
      <w:tr>
        <w:trPr/>
        <w:tc>
          <w:tcPr>
            <w:tcW w:w="585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29"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9" w:type="dxa"/>
            <w:gridSpan w:val="2"/>
            <w:tcBorders/>
            <w:vAlign w:val="bottom"/>
          </w:tcPr>
          <w:p>
            <w:pPr>
              <w:pStyle w:val="TableContents"/>
              <w:bidi w:val="0"/>
              <w:spacing w:before="0" w:after="283"/>
              <w:jc w:val="center"/>
              <w:rPr>
                <w:b/>
              </w:rPr>
            </w:pPr>
            <w:r>
              <w:rPr>
                <w:b/>
              </w:rPr>
              <w:t>US$</w:t>
            </w:r>
          </w:p>
        </w:tc>
        <w:tc>
          <w:tcPr>
            <w:tcW w:w="64" w:type="dxa"/>
            <w:tcBorders/>
            <w:vAlign w:val="bottom"/>
          </w:tcPr>
          <w:p>
            <w:pPr>
              <w:pStyle w:val="TableContents"/>
              <w:bidi w:val="0"/>
              <w:spacing w:before="0" w:after="283"/>
              <w:jc w:val="left"/>
              <w:rPr/>
            </w:pPr>
            <w:r>
              <w:rPr/>
              <w:t> </w:t>
            </w:r>
          </w:p>
        </w:tc>
      </w:tr>
      <w:tr>
        <w:trPr/>
        <w:tc>
          <w:tcPr>
            <w:tcW w:w="5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208</w:t>
            </w:r>
          </w:p>
        </w:tc>
        <w:tc>
          <w:tcPr>
            <w:tcW w:w="64" w:type="dxa"/>
            <w:tcBorders/>
            <w:shd w:fill="CCEEFF" w:val="clear"/>
            <w:vAlign w:val="bottom"/>
          </w:tcPr>
          <w:p>
            <w:pPr>
              <w:pStyle w:val="TableContents"/>
              <w:bidi w:val="0"/>
              <w:spacing w:before="0" w:after="283"/>
              <w:jc w:val="left"/>
              <w:rPr/>
            </w:pPr>
            <w:r>
              <w:rPr/>
              <w:t> </w:t>
            </w:r>
          </w:p>
        </w:tc>
      </w:tr>
      <w:tr>
        <w:trPr/>
        <w:tc>
          <w:tcPr>
            <w:tcW w:w="585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3,058</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6,418</w:t>
            </w:r>
          </w:p>
        </w:tc>
        <w:tc>
          <w:tcPr>
            <w:tcW w:w="64" w:type="dxa"/>
            <w:tcBorders/>
            <w:vAlign w:val="bottom"/>
          </w:tcPr>
          <w:p>
            <w:pPr>
              <w:pStyle w:val="TableContents"/>
              <w:bidi w:val="0"/>
              <w:spacing w:before="0" w:after="283"/>
              <w:jc w:val="left"/>
              <w:rPr/>
            </w:pPr>
            <w:r>
              <w:rPr/>
              <w:t> </w:t>
            </w:r>
          </w:p>
        </w:tc>
      </w:tr>
      <w:tr>
        <w:trPr/>
        <w:tc>
          <w:tcPr>
            <w:tcW w:w="5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941</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2,870</w:t>
            </w:r>
          </w:p>
        </w:tc>
        <w:tc>
          <w:tcPr>
            <w:tcW w:w="64" w:type="dxa"/>
            <w:tcBorders/>
            <w:shd w:fill="CCEEFF" w:val="clear"/>
            <w:vAlign w:val="bottom"/>
          </w:tcPr>
          <w:p>
            <w:pPr>
              <w:pStyle w:val="TableContents"/>
              <w:bidi w:val="0"/>
              <w:spacing w:before="0" w:after="283"/>
              <w:jc w:val="left"/>
              <w:rPr/>
            </w:pPr>
            <w:r>
              <w:rPr/>
              <w:t> </w:t>
            </w:r>
          </w:p>
        </w:tc>
      </w:tr>
      <w:tr>
        <w:trPr/>
        <w:tc>
          <w:tcPr>
            <w:tcW w:w="585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914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2,296</w:t>
            </w:r>
          </w:p>
        </w:tc>
        <w:tc>
          <w:tcPr>
            <w:tcW w:w="64" w:type="dxa"/>
            <w:tcBorders/>
            <w:vAlign w:val="bottom"/>
          </w:tcPr>
          <w:p>
            <w:pPr>
              <w:pStyle w:val="TableContents"/>
              <w:bidi w:val="0"/>
              <w:spacing w:before="0" w:after="283"/>
              <w:jc w:val="left"/>
              <w:rPr/>
            </w:pPr>
            <w:r>
              <w:rPr/>
              <w:t> </w:t>
            </w:r>
          </w:p>
        </w:tc>
      </w:tr>
      <w:tr>
        <w:trPr/>
        <w:tc>
          <w:tcPr>
            <w:tcW w:w="5859"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859"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4,986</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11,792</w:t>
            </w:r>
          </w:p>
        </w:tc>
        <w:tc>
          <w:tcPr>
            <w:tcW w:w="64" w:type="dxa"/>
            <w:tcBorders/>
            <w:shd w:fill="CCEEFF" w:val="clear"/>
            <w:vAlign w:val="bottom"/>
          </w:tcPr>
          <w:p>
            <w:pPr>
              <w:pStyle w:val="TableContents"/>
              <w:bidi w:val="0"/>
              <w:spacing w:before="0" w:after="283"/>
              <w:jc w:val="left"/>
              <w:rPr/>
            </w:pPr>
            <w:r>
              <w:rPr/>
              <w:t> </w:t>
            </w:r>
          </w:p>
        </w:tc>
      </w:tr>
      <w:tr>
        <w:trPr/>
        <w:tc>
          <w:tcPr>
            <w:tcW w:w="5859"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15. LEASE </w:t>
      </w:r>
    </w:p>
    <w:p>
      <w:pPr>
        <w:pStyle w:val="TextBody"/>
        <w:bidi w:val="0"/>
        <w:spacing w:before="240" w:after="0"/>
        <w:jc w:val="left"/>
        <w:rPr>
          <w:rFonts w:ascii="Times New Roman" w:hAnsi="Times New Roman"/>
          <w:b/>
          <w:sz w:val="20"/>
        </w:rPr>
      </w:pPr>
      <w:r>
        <w:rPr>
          <w:rFonts w:ascii="Times New Roman" w:hAnsi="Times New Roman"/>
          <w:b/>
          <w:sz w:val="20"/>
        </w:rPr>
        <w:t xml:space="preserve">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various operating lease agreements, which consist of real property and office equipment with lease periods expiring between fiscal years 2026 and 2033. The Company recognized leased assets in operating lease assets of US$13,195 and US$12,588 thousand and corresponding accrued expenses and other current liabilities of US$2,586 and US$2,686 thousand, and other long-term liabilities of US$11,464 and US$10,618 thousand, as of December 31, 2025 and June 30, 2026, respectively. The weighted average remaining lease term was 6.94 years and 6.44 years, and the weighted average discount rate was 2.43% and 2.43% as of December 31, 2025 and June 30, 2026, respectively.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expenses were US$2,308 thousand and US$1,858 thousand for the six months ended June 30, 2025 and 2026, respectively. For the supplemental cash flow information related to lease, the cash paid for amounts included in the measurement of operating lease liabilities was US$1,354 thousand and US$1,399 thousand for the six months ended June 30, 2025 and 2026, respectively. The Company recognized right-of-use assets of US$79 thousand and US$774 thousand upon entering into operating lease arrangements for the six months ended June 30, 2025 and 2026, respectively. </w:t>
      </w:r>
    </w:p>
    <w:p>
      <w:pPr>
        <w:pStyle w:val="TextBody"/>
        <w:bidi w:val="0"/>
        <w:spacing w:before="240" w:after="0"/>
        <w:jc w:val="left"/>
        <w:rPr>
          <w:rFonts w:ascii="Times New Roman" w:hAnsi="Times New Roman"/>
          <w:b/>
          <w:sz w:val="20"/>
        </w:rPr>
      </w:pPr>
      <w:r>
        <w:rPr>
          <w:rFonts w:ascii="Times New Roman" w:hAnsi="Times New Roman"/>
          <w:b/>
          <w:sz w:val="20"/>
        </w:rPr>
        <w:t xml:space="preserve">16. COMMITMENTS AND CONTINGENCIES </w:t>
      </w:r>
    </w:p>
    <w:p>
      <w:pPr>
        <w:pStyle w:val="TextBody"/>
        <w:bidi w:val="0"/>
        <w:spacing w:before="240" w:after="0"/>
        <w:jc w:val="left"/>
        <w:rPr>
          <w:rFonts w:ascii="Times New Roman" w:hAnsi="Times New Roman"/>
          <w:b/>
          <w:sz w:val="20"/>
        </w:rPr>
      </w:pPr>
      <w:r>
        <w:rPr>
          <w:rFonts w:ascii="Times New Roman" w:hAnsi="Times New Roman"/>
          <w:b/>
          <w:sz w:val="20"/>
        </w:rPr>
        <w:t xml:space="preserve">Office Building Construction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18, 2021, the Company won a bid with a third-party to build an office building in Taipei and we entered into a property development agreement in May 2021, pursuant to which it delivered a performance bond secured by a certificate of deposit. The agreement requires completion of construction within three years after obtaining the construction license. The project broke ground in April 2026, and the remaining performance bond of US$2,504 thousand will be released upon completion of construction. The total development cost is estimated at approximately US$103 million, and completion of the project is expected by the end of 2029. </w:t>
      </w:r>
    </w:p>
    <w:p>
      <w:pPr>
        <w:pStyle w:val="TextBody"/>
        <w:bidi w:val="0"/>
        <w:spacing w:before="240" w:after="0"/>
        <w:jc w:val="left"/>
        <w:rPr>
          <w:rFonts w:ascii="Times New Roman" w:hAnsi="Times New Roman"/>
          <w:b/>
          <w:sz w:val="20"/>
        </w:rPr>
      </w:pPr>
      <w:r>
        <w:rPr>
          <w:rFonts w:ascii="Times New Roman" w:hAnsi="Times New Roman"/>
          <w:b/>
          <w:sz w:val="20"/>
        </w:rPr>
        <w:t xml:space="preserve">Litigation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5, 2023, the Company filed a claim in the SIAC against MaxLinear for breaching the Merger Agreement. In the arbitration, the Company is seeking payment of the termination fee of US$160 million, together with further substantial damages, interests, and costs. The arbitration tribunal has been constituted, a procedural timetable has been issued and hearings have been conducted in October 2025 and March 2026. If the Company succeeds in its claims, MaxLinear will likely be ordered to pay the Company’s legal fees and the costs of the arbitration. If the Company does not succeed in some or all of its claims and/or in defending the counterclaim, it may be ordered to pay some or all of MaxLinear’s legal fees and the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arbitration. The quantum of the legal fees and costs to be paid by either party will be decided by the tribunal. No assurance can be given that if an award is granted in the Company’s favour, that the award can be collected or that the Company will not be required to take further measures to be able to collect the award. Under the SIAC Arbitration Rules, all matters relating to the proceedings are confidential.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2023, the Company ADS holder (the “Plaintiff”) filed a putative class action complaint in the United States District Court for the Southern District of California, captioned Water Island Event-Driven Fund v. MaxLinear, Inc., No. 23-cv-01607 (S.D. Cal.), asserting claims against MaxLinear and two of its officers (the “MaxLinear Defendants”) for alleged violations of (i) Section 10(b) of the Exchange Act and Rule 10b-5 promulgated thereunder and (ii) Section 20(a) of the Exchange Act, in connection with alleged false and misleading statements made by the MaxLinear Defendants between June 6, 2023 and July 26, 2023 concerning MaxLinear’s intent to consummate the Merger Agreement. On August 28, 2024, the court dismissed the complaint against the MaxLinear Defendants without prejudice for lack of standing. On September 18, 2024, the Plaintiff filed an amended complaint against the MaxLinear Defendants, and also added Silicon Motion and two of our officers, Messrs. Kou and Lai (the “Silicon Motion Defendants”), asserting substantially similar claims under the Exchange Act. The complaint seeks compensatory damages, including interest, costs and expenses, and such other equitable or injunctive relief that the court deems appropriate. The Silicon Motion Defendants filed a motion to dismiss the amended complaint on November 25, 2024, as did the MaxLinear Defendants. The U.S. District Court granted the Silicon Motion Defendants’ motion to dismiss all claims asserted against them with prejudice on July 15, 2025. The Plaintiff has appealed the dismissal of their claims to the United States Court of Appeals for the Ninth Circuit on August 08, 2025. The Silicon Motion Defendants believe that the claims asserted against them are without merit and intend to continue to defend themselves vigorously on appeal.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developments in such proceedings since December 31, 2025, and management’s assessment of these matters remains substantially unchanged. </w:t>
      </w:r>
    </w:p>
    <w:p>
      <w:pPr>
        <w:pStyle w:val="TextBody"/>
        <w:bidi w:val="0"/>
        <w:spacing w:before="240" w:after="0"/>
        <w:jc w:val="left"/>
        <w:rPr>
          <w:rFonts w:ascii="Times New Roman" w:hAnsi="Times New Roman"/>
          <w:b/>
          <w:sz w:val="20"/>
        </w:rPr>
      </w:pPr>
      <w:r>
        <w:rPr>
          <w:rFonts w:ascii="Times New Roman" w:hAnsi="Times New Roman"/>
          <w:b/>
          <w:sz w:val="20"/>
        </w:rPr>
        <w:t xml:space="preserve">17. SEGMENT AND GEOGRAPHIC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the global leader and pioneer in developing NAND flash controllers for solid state storage devices. The Company currently operates as one reportable segment. The Chief Operating Decision Maker (“CODM”) is the Chief Executive Officer, who is directly involved in the Company’s operations and product development. The CODM is ultimately responsible for and actively involved in the allocation of resources and the assessment of the Company’s performance using consolidated net income reported on the consolidated statements of income, supplemented by revenue information disaggregated by geographic region and target customers. The measure of segment assets is reported on the balance sheet as total consolidated assets. The Company’s organizational structure is functionally aligned with department heads and shared resources reporting directly to the CODM. The Company employs a highly integrated product development approach, with proprietary technologies utilized across multiple products and substantially all integrated circuits manufactured using similar processes. As a result, the Company operates as a single operating segment.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selected financial information, including significant expenses and other expense information provided to CODM, with respect to the Company’s single operating segment for the six months ended June 30, 2025 and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02"/>
        <w:gridCol w:w="216"/>
        <w:gridCol w:w="83"/>
        <w:gridCol w:w="1141"/>
        <w:gridCol w:w="214"/>
        <w:gridCol w:w="214"/>
        <w:gridCol w:w="83"/>
        <w:gridCol w:w="1143"/>
        <w:gridCol w:w="159"/>
      </w:tblGrid>
      <w:tr>
        <w:trPr/>
        <w:tc>
          <w:tcPr>
            <w:tcW w:w="4502"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8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45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r>
      <w:tr>
        <w:trPr/>
        <w:tc>
          <w:tcPr>
            <w:tcW w:w="45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center"/>
              <w:rPr>
                <w:b/>
              </w:rPr>
            </w:pPr>
            <w:r>
              <w:rPr>
                <w:b/>
              </w:rPr>
              <w:t>US$</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4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365,167</w:t>
            </w:r>
          </w:p>
        </w:tc>
        <w:tc>
          <w:tcPr>
            <w:tcW w:w="21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793,106</w:t>
            </w:r>
          </w:p>
        </w:tc>
        <w:tc>
          <w:tcPr>
            <w:tcW w:w="159" w:type="dxa"/>
            <w:tcBorders/>
            <w:shd w:fill="CCEEFF" w:val="clear"/>
            <w:vAlign w:val="bottom"/>
          </w:tcPr>
          <w:p>
            <w:pPr>
              <w:pStyle w:val="TableContents"/>
              <w:bidi w:val="0"/>
              <w:spacing w:before="0" w:after="283"/>
              <w:jc w:val="left"/>
              <w:rPr/>
            </w:pPr>
            <w:r>
              <w:rPr/>
              <w:t> </w:t>
            </w:r>
          </w:p>
        </w:tc>
      </w:tr>
      <w:tr>
        <w:trPr/>
        <w:tc>
          <w:tcPr>
            <w:tcW w:w="450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4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costs (1)</w:t>
            </w:r>
          </w:p>
        </w:tc>
        <w:tc>
          <w:tcPr>
            <w:tcW w:w="2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190,329</w:t>
            </w:r>
          </w:p>
        </w:tc>
        <w:tc>
          <w:tcPr>
            <w:tcW w:w="21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403,312</w:t>
            </w:r>
          </w:p>
        </w:tc>
        <w:tc>
          <w:tcPr>
            <w:tcW w:w="159" w:type="dxa"/>
            <w:tcBorders/>
            <w:shd w:fill="CCEEFF" w:val="clear"/>
            <w:vAlign w:val="bottom"/>
          </w:tcPr>
          <w:p>
            <w:pPr>
              <w:pStyle w:val="TableContents"/>
              <w:bidi w:val="0"/>
              <w:spacing w:before="0" w:after="283"/>
              <w:jc w:val="left"/>
              <w:rPr/>
            </w:pPr>
            <w:r>
              <w:rPr/>
              <w:t> </w:t>
            </w:r>
          </w:p>
        </w:tc>
      </w:tr>
      <w:tr>
        <w:trPr/>
        <w:tc>
          <w:tcPr>
            <w:tcW w:w="4502" w:type="dxa"/>
            <w:tcBorders/>
          </w:tcPr>
          <w:p>
            <w:pPr>
              <w:pStyle w:val="TableContents"/>
              <w:bidi w:val="0"/>
              <w:spacing w:before="0" w:after="0"/>
              <w:jc w:val="left"/>
              <w:rPr>
                <w:rFonts w:ascii="Times New Roman" w:hAnsi="Times New Roman"/>
                <w:sz w:val="20"/>
              </w:rPr>
            </w:pPr>
            <w:r>
              <w:rPr>
                <w:rFonts w:ascii="Times New Roman" w:hAnsi="Times New Roman"/>
                <w:sz w:val="20"/>
              </w:rPr>
              <w:t>Stock-compensation and related payroll expense</w:t>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81,609</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153,709</w:t>
            </w:r>
          </w:p>
        </w:tc>
        <w:tc>
          <w:tcPr>
            <w:tcW w:w="159" w:type="dxa"/>
            <w:tcBorders/>
            <w:vAlign w:val="bottom"/>
          </w:tcPr>
          <w:p>
            <w:pPr>
              <w:pStyle w:val="TableContents"/>
              <w:bidi w:val="0"/>
              <w:spacing w:before="0" w:after="283"/>
              <w:jc w:val="left"/>
              <w:rPr/>
            </w:pPr>
            <w:r>
              <w:rPr/>
              <w:t> </w:t>
            </w:r>
          </w:p>
        </w:tc>
      </w:tr>
      <w:tr>
        <w:trPr/>
        <w:tc>
          <w:tcPr>
            <w:tcW w:w="4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Circuit design related costs</w:t>
            </w:r>
          </w:p>
        </w:tc>
        <w:tc>
          <w:tcPr>
            <w:tcW w:w="2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34,083</w:t>
            </w:r>
          </w:p>
        </w:tc>
        <w:tc>
          <w:tcPr>
            <w:tcW w:w="21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50,076</w:t>
            </w:r>
          </w:p>
        </w:tc>
        <w:tc>
          <w:tcPr>
            <w:tcW w:w="159" w:type="dxa"/>
            <w:tcBorders/>
            <w:shd w:fill="CCEEFF" w:val="clear"/>
            <w:vAlign w:val="bottom"/>
          </w:tcPr>
          <w:p>
            <w:pPr>
              <w:pStyle w:val="TableContents"/>
              <w:bidi w:val="0"/>
              <w:spacing w:before="0" w:after="283"/>
              <w:jc w:val="left"/>
              <w:rPr/>
            </w:pPr>
            <w:r>
              <w:rPr/>
              <w:t> </w:t>
            </w:r>
          </w:p>
        </w:tc>
      </w:tr>
      <w:tr>
        <w:trPr/>
        <w:tc>
          <w:tcPr>
            <w:tcW w:w="450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14,670</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18,227</w:t>
            </w:r>
          </w:p>
        </w:tc>
        <w:tc>
          <w:tcPr>
            <w:tcW w:w="159" w:type="dxa"/>
            <w:tcBorders/>
            <w:vAlign w:val="bottom"/>
          </w:tcPr>
          <w:p>
            <w:pPr>
              <w:pStyle w:val="TableContents"/>
              <w:bidi w:val="0"/>
              <w:spacing w:before="0" w:after="283"/>
              <w:jc w:val="left"/>
              <w:rPr/>
            </w:pPr>
            <w:r>
              <w:rPr/>
              <w:t> </w:t>
            </w:r>
          </w:p>
        </w:tc>
      </w:tr>
      <w:tr>
        <w:trPr/>
        <w:tc>
          <w:tcPr>
            <w:tcW w:w="4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1,273</w:t>
            </w:r>
          </w:p>
        </w:tc>
        <w:tc>
          <w:tcPr>
            <w:tcW w:w="21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49,535</w:t>
            </w:r>
          </w:p>
        </w:tc>
        <w:tc>
          <w:tcPr>
            <w:tcW w:w="159" w:type="dxa"/>
            <w:tcBorders/>
            <w:shd w:fill="CCEEFF" w:val="clear"/>
            <w:vAlign w:val="bottom"/>
          </w:tcPr>
          <w:p>
            <w:pPr>
              <w:pStyle w:val="TableContents"/>
              <w:bidi w:val="0"/>
              <w:spacing w:before="0" w:after="283"/>
              <w:jc w:val="left"/>
              <w:rPr/>
            </w:pPr>
            <w:r>
              <w:rPr/>
              <w:t> </w:t>
            </w:r>
          </w:p>
        </w:tc>
      </w:tr>
      <w:tr>
        <w:trPr/>
        <w:tc>
          <w:tcPr>
            <w:tcW w:w="4502" w:type="dxa"/>
            <w:tcBorders/>
          </w:tcPr>
          <w:p>
            <w:pPr>
              <w:pStyle w:val="TableContents"/>
              <w:bidi w:val="0"/>
              <w:spacing w:before="0" w:after="0"/>
              <w:jc w:val="left"/>
              <w:rPr>
                <w:rFonts w:ascii="Times New Roman" w:hAnsi="Times New Roman"/>
                <w:sz w:val="20"/>
              </w:rPr>
            </w:pPr>
            <w:r>
              <w:rPr>
                <w:rFonts w:ascii="Times New Roman" w:hAnsi="Times New Roman"/>
                <w:sz w:val="20"/>
              </w:rPr>
              <w:t>Dispute related expenses</w:t>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3,118</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1,284</w:t>
            </w:r>
          </w:p>
        </w:tc>
        <w:tc>
          <w:tcPr>
            <w:tcW w:w="159" w:type="dxa"/>
            <w:tcBorders/>
            <w:vAlign w:val="bottom"/>
          </w:tcPr>
          <w:p>
            <w:pPr>
              <w:pStyle w:val="TableContents"/>
              <w:bidi w:val="0"/>
              <w:spacing w:before="0" w:after="283"/>
              <w:jc w:val="left"/>
              <w:rPr/>
            </w:pPr>
            <w:r>
              <w:rPr/>
              <w:t> </w:t>
            </w:r>
          </w:p>
        </w:tc>
      </w:tr>
      <w:tr>
        <w:trPr/>
        <w:tc>
          <w:tcPr>
            <w:tcW w:w="4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 (2)</w:t>
            </w:r>
          </w:p>
        </w:tc>
        <w:tc>
          <w:tcPr>
            <w:tcW w:w="2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9,263</w:t>
            </w:r>
          </w:p>
        </w:tc>
        <w:tc>
          <w:tcPr>
            <w:tcW w:w="21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13,180</w:t>
            </w:r>
          </w:p>
        </w:tc>
        <w:tc>
          <w:tcPr>
            <w:tcW w:w="159" w:type="dxa"/>
            <w:tcBorders/>
            <w:shd w:fill="CCEEFF" w:val="clear"/>
            <w:vAlign w:val="bottom"/>
          </w:tcPr>
          <w:p>
            <w:pPr>
              <w:pStyle w:val="TableContents"/>
              <w:bidi w:val="0"/>
              <w:spacing w:before="0" w:after="283"/>
              <w:jc w:val="left"/>
              <w:rPr/>
            </w:pPr>
            <w:r>
              <w:rPr/>
              <w:t> </w:t>
            </w:r>
          </w:p>
        </w:tc>
      </w:tr>
      <w:tr>
        <w:trPr/>
        <w:tc>
          <w:tcPr>
            <w:tcW w:w="450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(5,635</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(3,109</w:t>
            </w:r>
          </w:p>
        </w:tc>
        <w:tc>
          <w:tcPr>
            <w:tcW w:w="159" w:type="dxa"/>
            <w:tcBorders/>
            <w:vAlign w:val="bottom"/>
          </w:tcPr>
          <w:p>
            <w:pPr>
              <w:pStyle w:val="TableContents"/>
              <w:bidi w:val="0"/>
              <w:spacing w:before="0" w:after="283"/>
              <w:jc w:val="left"/>
              <w:rPr/>
            </w:pPr>
            <w:r>
              <w:rPr/>
              <w:t>) </w:t>
            </w:r>
          </w:p>
        </w:tc>
      </w:tr>
      <w:tr>
        <w:trPr/>
        <w:tc>
          <w:tcPr>
            <w:tcW w:w="4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 (3)</w:t>
            </w:r>
          </w:p>
        </w:tc>
        <w:tc>
          <w:tcPr>
            <w:tcW w:w="2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683</w:t>
            </w:r>
          </w:p>
        </w:tc>
        <w:tc>
          <w:tcPr>
            <w:tcW w:w="21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(96,019</w:t>
            </w:r>
          </w:p>
        </w:tc>
        <w:tc>
          <w:tcPr>
            <w:tcW w:w="159" w:type="dxa"/>
            <w:tcBorders/>
            <w:shd w:fill="CCEEFF" w:val="clear"/>
            <w:vAlign w:val="bottom"/>
          </w:tcPr>
          <w:p>
            <w:pPr>
              <w:pStyle w:val="TableContents"/>
              <w:bidi w:val="0"/>
              <w:spacing w:before="0" w:after="283"/>
              <w:jc w:val="left"/>
              <w:rPr/>
            </w:pPr>
            <w:r>
              <w:rPr/>
              <w:t>) </w:t>
            </w:r>
          </w:p>
        </w:tc>
      </w:tr>
      <w:tr>
        <w:trPr/>
        <w:tc>
          <w:tcPr>
            <w:tcW w:w="4502"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35,774</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202,911</w:t>
            </w:r>
          </w:p>
        </w:tc>
        <w:tc>
          <w:tcPr>
            <w:tcW w:w="159" w:type="dxa"/>
            <w:tcBorders/>
            <w:vAlign w:val="bottom"/>
          </w:tcPr>
          <w:p>
            <w:pPr>
              <w:pStyle w:val="TableContents"/>
              <w:bidi w:val="0"/>
              <w:spacing w:before="0" w:after="283"/>
              <w:jc w:val="left"/>
              <w:rPr/>
            </w:pPr>
            <w:r>
              <w:rPr/>
              <w:t> </w:t>
            </w:r>
          </w:p>
        </w:tc>
      </w:tr>
      <w:tr>
        <w:trPr/>
        <w:tc>
          <w:tcPr>
            <w:tcW w:w="4502"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disclosures</w:t>
            </w:r>
          </w:p>
        </w:tc>
        <w:tc>
          <w:tcPr>
            <w:tcW w:w="21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2" w:type="dxa"/>
            <w:tcBorders/>
          </w:tcPr>
          <w:p>
            <w:pPr>
              <w:pStyle w:val="TableContents"/>
              <w:bidi w:val="0"/>
              <w:spacing w:before="0" w:after="0"/>
              <w:jc w:val="left"/>
              <w:rPr>
                <w:rFonts w:ascii="Times New Roman" w:hAnsi="Times New Roman"/>
                <w:sz w:val="20"/>
              </w:rPr>
            </w:pPr>
            <w:r>
              <w:rPr>
                <w:rFonts w:ascii="Times New Roman" w:hAnsi="Times New Roman"/>
                <w:sz w:val="20"/>
              </w:rPr>
              <w:t>Expenditures for additions to long-lived assets</w:t>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6,164</w:t>
            </w:r>
          </w:p>
        </w:tc>
        <w:tc>
          <w:tcPr>
            <w:tcW w:w="21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27,075</w:t>
            </w:r>
          </w:p>
        </w:tc>
        <w:tc>
          <w:tcPr>
            <w:tcW w:w="159" w:type="dxa"/>
            <w:tcBorders/>
            <w:vAlign w:val="bottom"/>
          </w:tcPr>
          <w:p>
            <w:pPr>
              <w:pStyle w:val="TableContents"/>
              <w:bidi w:val="0"/>
              <w:spacing w:before="0" w:after="283"/>
              <w:jc w:val="left"/>
              <w:rPr/>
            </w:pPr>
            <w:r>
              <w:rPr/>
              <w:t> </w:t>
            </w:r>
          </w:p>
        </w:tc>
      </w:tr>
      <w:tr>
        <w:trPr/>
        <w:tc>
          <w:tcPr>
            <w:tcW w:w="4502"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costs primarily include material, labor and other product related costs, excluding the other categories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operating expenses primarily include facilities expenses, sales promotion expenses, professional service expenses and other expenses.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primarily include unrealized holding gain on investment, foreign exchange gain or loss, interest expense and other income, net as reported in our condensed consolidated statements of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expense information reflects management’s internal classification used to assess financial and operational performance and may not align with classifications used by peer companies. As a result, this expense information should not be considered in isolation or as substitute for analysis of the Company’s results in conjunction with the accompanying consolidated financial statements and notes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Long-lived assets (property and equipment, net) by geographic area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97"/>
        <w:gridCol w:w="305"/>
        <w:gridCol w:w="98"/>
        <w:gridCol w:w="1336"/>
        <w:gridCol w:w="60"/>
        <w:gridCol w:w="305"/>
        <w:gridCol w:w="61"/>
        <w:gridCol w:w="829"/>
        <w:gridCol w:w="64"/>
      </w:tblGrid>
      <w:tr>
        <w:trPr/>
        <w:tc>
          <w:tcPr>
            <w:tcW w:w="469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9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4" w:type="dxa"/>
            <w:tcBorders/>
            <w:vAlign w:val="bottom"/>
          </w:tcPr>
          <w:p>
            <w:pPr>
              <w:pStyle w:val="TableContents"/>
              <w:bidi w:val="0"/>
              <w:spacing w:before="0" w:after="283"/>
              <w:jc w:val="left"/>
              <w:rPr/>
            </w:pPr>
            <w:r>
              <w:rPr/>
              <w:t> </w:t>
            </w:r>
          </w:p>
        </w:tc>
      </w:tr>
      <w:tr>
        <w:trPr/>
        <w:tc>
          <w:tcPr>
            <w:tcW w:w="469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4" w:type="dxa"/>
            <w:tcBorders/>
            <w:vAlign w:val="bottom"/>
          </w:tcPr>
          <w:p>
            <w:pPr>
              <w:pStyle w:val="TableContents"/>
              <w:bidi w:val="0"/>
              <w:spacing w:before="0" w:after="283"/>
              <w:jc w:val="left"/>
              <w:rPr/>
            </w:pPr>
            <w:r>
              <w:rPr/>
              <w:t> </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30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208,415</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222,311</w:t>
            </w:r>
          </w:p>
        </w:tc>
        <w:tc>
          <w:tcPr>
            <w:tcW w:w="64" w:type="dxa"/>
            <w:tcBorders/>
            <w:shd w:fill="CCEEFF" w:val="clear"/>
            <w:vAlign w:val="bottom"/>
          </w:tcPr>
          <w:p>
            <w:pPr>
              <w:pStyle w:val="TableContents"/>
              <w:bidi w:val="0"/>
              <w:spacing w:before="0" w:after="283"/>
              <w:jc w:val="left"/>
              <w:rPr/>
            </w:pPr>
            <w:r>
              <w:rPr/>
              <w:t> </w:t>
            </w:r>
          </w:p>
        </w:tc>
      </w:tr>
      <w:tr>
        <w:trPr/>
        <w:tc>
          <w:tcPr>
            <w:tcW w:w="4697"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30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10,006</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10,021</w:t>
            </w:r>
          </w:p>
        </w:tc>
        <w:tc>
          <w:tcPr>
            <w:tcW w:w="64" w:type="dxa"/>
            <w:tcBorders/>
            <w:vAlign w:val="bottom"/>
          </w:tcPr>
          <w:p>
            <w:pPr>
              <w:pStyle w:val="TableContents"/>
              <w:bidi w:val="0"/>
              <w:spacing w:before="0" w:after="283"/>
              <w:jc w:val="left"/>
              <w:rPr/>
            </w:pPr>
            <w:r>
              <w:rPr/>
              <w:t> </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30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545</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473</w:t>
            </w:r>
          </w:p>
        </w:tc>
        <w:tc>
          <w:tcPr>
            <w:tcW w:w="64" w:type="dxa"/>
            <w:tcBorders/>
            <w:shd w:fill="CCEEFF" w:val="clear"/>
            <w:vAlign w:val="bottom"/>
          </w:tcPr>
          <w:p>
            <w:pPr>
              <w:pStyle w:val="TableContents"/>
              <w:bidi w:val="0"/>
              <w:spacing w:before="0" w:after="283"/>
              <w:jc w:val="left"/>
              <w:rPr/>
            </w:pPr>
            <w:r>
              <w:rPr/>
              <w:t> </w:t>
            </w:r>
          </w:p>
        </w:tc>
      </w:tr>
      <w:tr>
        <w:trPr/>
        <w:tc>
          <w:tcPr>
            <w:tcW w:w="469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97" w:type="dxa"/>
            <w:tcBorders/>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218,966</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232,805</w:t>
            </w:r>
          </w:p>
        </w:tc>
        <w:tc>
          <w:tcPr>
            <w:tcW w:w="64" w:type="dxa"/>
            <w:tcBorders/>
            <w:vAlign w:val="bottom"/>
          </w:tcPr>
          <w:p>
            <w:pPr>
              <w:pStyle w:val="TableContents"/>
              <w:bidi w:val="0"/>
              <w:spacing w:before="0" w:after="283"/>
              <w:jc w:val="left"/>
              <w:rPr/>
            </w:pPr>
            <w:r>
              <w:rPr/>
              <w:t> </w:t>
            </w:r>
          </w:p>
        </w:tc>
      </w:tr>
      <w:tr>
        <w:trPr/>
        <w:tc>
          <w:tcPr>
            <w:tcW w:w="469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groups its products into two categories, based on the markets in which they may be used. The following summarizes the Company’s revenue by product category: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71"/>
        <w:gridCol w:w="188"/>
        <w:gridCol w:w="87"/>
        <w:gridCol w:w="1173"/>
        <w:gridCol w:w="87"/>
        <w:gridCol w:w="225"/>
        <w:gridCol w:w="87"/>
        <w:gridCol w:w="1174"/>
        <w:gridCol w:w="63"/>
      </w:tblGrid>
      <w:tr>
        <w:trPr/>
        <w:tc>
          <w:tcPr>
            <w:tcW w:w="4671"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7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8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3"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3"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bidi w:val="0"/>
              <w:spacing w:before="0" w:after="283"/>
              <w:jc w:val="center"/>
              <w:rPr>
                <w:b/>
              </w:rPr>
            </w:pPr>
            <w:r>
              <w:rPr>
                <w:b/>
              </w:rPr>
              <w:t>US$</w:t>
            </w:r>
          </w:p>
        </w:tc>
        <w:tc>
          <w:tcPr>
            <w:tcW w:w="8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center"/>
              <w:rPr>
                <w:b/>
              </w:rPr>
            </w:pPr>
            <w:r>
              <w:rPr>
                <w:b/>
              </w:rPr>
              <w:t>US$</w:t>
            </w:r>
          </w:p>
        </w:tc>
        <w:tc>
          <w:tcPr>
            <w:tcW w:w="63" w:type="dxa"/>
            <w:tcBorders/>
            <w:vAlign w:val="bottom"/>
          </w:tcPr>
          <w:p>
            <w:pPr>
              <w:pStyle w:val="TableContents"/>
              <w:bidi w:val="0"/>
              <w:spacing w:before="0" w:after="283"/>
              <w:jc w:val="left"/>
              <w:rPr/>
            </w:pPr>
            <w:r>
              <w:rPr/>
              <w:t> </w:t>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Mobile Storage</w:t>
            </w:r>
          </w:p>
        </w:tc>
        <w:tc>
          <w:tcPr>
            <w:tcW w:w="18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361,942</w:t>
            </w:r>
          </w:p>
        </w:tc>
        <w:tc>
          <w:tcPr>
            <w:tcW w:w="87"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786,377</w:t>
            </w:r>
          </w:p>
        </w:tc>
        <w:tc>
          <w:tcPr>
            <w:tcW w:w="63" w:type="dxa"/>
            <w:tcBorders/>
            <w:shd w:fill="CCEEFF" w:val="clear"/>
            <w:vAlign w:val="bottom"/>
          </w:tcPr>
          <w:p>
            <w:pPr>
              <w:pStyle w:val="TableContents"/>
              <w:bidi w:val="0"/>
              <w:spacing w:before="0" w:after="283"/>
              <w:jc w:val="left"/>
              <w:rPr/>
            </w:pPr>
            <w:r>
              <w:rPr/>
              <w:t> </w:t>
            </w:r>
          </w:p>
        </w:tc>
      </w:tr>
      <w:tr>
        <w:trPr/>
        <w:tc>
          <w:tcPr>
            <w:tcW w:w="4671"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8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3,225</w:t>
            </w:r>
          </w:p>
        </w:tc>
        <w:tc>
          <w:tcPr>
            <w:tcW w:w="8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6,729</w:t>
            </w:r>
          </w:p>
        </w:tc>
        <w:tc>
          <w:tcPr>
            <w:tcW w:w="63"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71" w:type="dxa"/>
            <w:tcBorders/>
            <w:shd w:fill="CCEEFF" w:val="clear"/>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365,167</w:t>
            </w:r>
          </w:p>
        </w:tc>
        <w:tc>
          <w:tcPr>
            <w:tcW w:w="87"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793,106</w:t>
            </w:r>
          </w:p>
        </w:tc>
        <w:tc>
          <w:tcPr>
            <w:tcW w:w="63" w:type="dxa"/>
            <w:tcBorders/>
            <w:shd w:fill="CCEEFF" w:val="clear"/>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 is attributed to a geographic area based on the bill-to location and is summarized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68"/>
        <w:gridCol w:w="186"/>
        <w:gridCol w:w="87"/>
        <w:gridCol w:w="1176"/>
        <w:gridCol w:w="87"/>
        <w:gridCol w:w="224"/>
        <w:gridCol w:w="87"/>
        <w:gridCol w:w="1177"/>
        <w:gridCol w:w="63"/>
      </w:tblGrid>
      <w:tr>
        <w:trPr/>
        <w:tc>
          <w:tcPr>
            <w:tcW w:w="4668"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6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3" w:type="dxa"/>
            <w:tcBorders/>
            <w:vAlign w:val="bottom"/>
          </w:tcPr>
          <w:p>
            <w:pPr>
              <w:pStyle w:val="TableContents"/>
              <w:bidi w:val="0"/>
              <w:spacing w:before="0" w:after="283"/>
              <w:jc w:val="left"/>
              <w:rPr/>
            </w:pPr>
            <w:r>
              <w:rPr/>
              <w:t> </w:t>
            </w:r>
          </w:p>
        </w:tc>
      </w:tr>
      <w:tr>
        <w:trPr/>
        <w:tc>
          <w:tcPr>
            <w:tcW w:w="466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3" w:type="dxa"/>
            <w:tcBorders/>
            <w:vAlign w:val="bottom"/>
          </w:tcPr>
          <w:p>
            <w:pPr>
              <w:pStyle w:val="TableContents"/>
              <w:bidi w:val="0"/>
              <w:spacing w:before="0" w:after="283"/>
              <w:jc w:val="left"/>
              <w:rPr/>
            </w:pPr>
            <w:r>
              <w:rPr/>
              <w:t> </w:t>
            </w:r>
          </w:p>
        </w:tc>
      </w:tr>
      <w:tr>
        <w:trPr/>
        <w:tc>
          <w:tcPr>
            <w:tcW w:w="466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63" w:type="dxa"/>
            <w:gridSpan w:val="2"/>
            <w:tcBorders/>
            <w:vAlign w:val="bottom"/>
          </w:tcPr>
          <w:p>
            <w:pPr>
              <w:pStyle w:val="TableContents"/>
              <w:bidi w:val="0"/>
              <w:spacing w:before="0" w:after="283"/>
              <w:jc w:val="center"/>
              <w:rPr>
                <w:b/>
              </w:rPr>
            </w:pPr>
            <w:r>
              <w:rPr>
                <w:b/>
              </w:rPr>
              <w:t>US$</w:t>
            </w:r>
          </w:p>
        </w:tc>
        <w:tc>
          <w:tcPr>
            <w:tcW w:w="8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center"/>
              <w:rPr>
                <w:b/>
              </w:rPr>
            </w:pPr>
            <w:r>
              <w:rPr>
                <w:b/>
              </w:rPr>
              <w:t>US$</w:t>
            </w:r>
          </w:p>
        </w:tc>
        <w:tc>
          <w:tcPr>
            <w:tcW w:w="63" w:type="dxa"/>
            <w:tcBorders/>
            <w:vAlign w:val="bottom"/>
          </w:tcPr>
          <w:p>
            <w:pPr>
              <w:pStyle w:val="TableContents"/>
              <w:bidi w:val="0"/>
              <w:spacing w:before="0" w:after="283"/>
              <w:jc w:val="left"/>
              <w:rPr/>
            </w:pPr>
            <w:r>
              <w:rPr/>
              <w:t> </w:t>
            </w:r>
          </w:p>
        </w:tc>
      </w:tr>
      <w:tr>
        <w:trPr/>
        <w:tc>
          <w:tcPr>
            <w:tcW w:w="4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204,677</w:t>
            </w:r>
          </w:p>
        </w:tc>
        <w:tc>
          <w:tcPr>
            <w:tcW w:w="8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508,134</w:t>
            </w:r>
          </w:p>
        </w:tc>
        <w:tc>
          <w:tcPr>
            <w:tcW w:w="63" w:type="dxa"/>
            <w:tcBorders/>
            <w:shd w:fill="CCEEFF" w:val="clear"/>
            <w:vAlign w:val="bottom"/>
          </w:tcPr>
          <w:p>
            <w:pPr>
              <w:pStyle w:val="TableContents"/>
              <w:bidi w:val="0"/>
              <w:spacing w:before="0" w:after="283"/>
              <w:jc w:val="left"/>
              <w:rPr/>
            </w:pPr>
            <w:r>
              <w:rPr/>
              <w:t> </w:t>
            </w:r>
          </w:p>
        </w:tc>
      </w:tr>
      <w:tr>
        <w:trPr/>
        <w:tc>
          <w:tcPr>
            <w:tcW w:w="4668"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50,301</w:t>
            </w:r>
          </w:p>
        </w:tc>
        <w:tc>
          <w:tcPr>
            <w:tcW w:w="8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78,272</w:t>
            </w:r>
          </w:p>
        </w:tc>
        <w:tc>
          <w:tcPr>
            <w:tcW w:w="63" w:type="dxa"/>
            <w:tcBorders/>
            <w:vAlign w:val="bottom"/>
          </w:tcPr>
          <w:p>
            <w:pPr>
              <w:pStyle w:val="TableContents"/>
              <w:bidi w:val="0"/>
              <w:spacing w:before="0" w:after="283"/>
              <w:jc w:val="left"/>
              <w:rPr/>
            </w:pPr>
            <w:r>
              <w:rPr/>
              <w:t> </w:t>
            </w:r>
          </w:p>
        </w:tc>
      </w:tr>
      <w:tr>
        <w:trPr/>
        <w:tc>
          <w:tcPr>
            <w:tcW w:w="4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Israel</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157</w:t>
            </w:r>
          </w:p>
        </w:tc>
        <w:tc>
          <w:tcPr>
            <w:tcW w:w="8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62,188</w:t>
            </w:r>
          </w:p>
        </w:tc>
        <w:tc>
          <w:tcPr>
            <w:tcW w:w="63" w:type="dxa"/>
            <w:tcBorders/>
            <w:shd w:fill="CCEEFF" w:val="clear"/>
            <w:vAlign w:val="bottom"/>
          </w:tcPr>
          <w:p>
            <w:pPr>
              <w:pStyle w:val="TableContents"/>
              <w:bidi w:val="0"/>
              <w:spacing w:before="0" w:after="283"/>
              <w:jc w:val="left"/>
              <w:rPr/>
            </w:pPr>
            <w:r>
              <w:rPr/>
              <w:t> </w:t>
            </w:r>
          </w:p>
        </w:tc>
      </w:tr>
      <w:tr>
        <w:trPr/>
        <w:tc>
          <w:tcPr>
            <w:tcW w:w="4668"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32,410</w:t>
            </w:r>
          </w:p>
        </w:tc>
        <w:tc>
          <w:tcPr>
            <w:tcW w:w="8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57,497</w:t>
            </w:r>
          </w:p>
        </w:tc>
        <w:tc>
          <w:tcPr>
            <w:tcW w:w="63" w:type="dxa"/>
            <w:tcBorders/>
            <w:vAlign w:val="bottom"/>
          </w:tcPr>
          <w:p>
            <w:pPr>
              <w:pStyle w:val="TableContents"/>
              <w:bidi w:val="0"/>
              <w:spacing w:before="0" w:after="283"/>
              <w:jc w:val="left"/>
              <w:rPr/>
            </w:pPr>
            <w:r>
              <w:rPr/>
              <w:t> </w:t>
            </w:r>
          </w:p>
        </w:tc>
      </w:tr>
      <w:tr>
        <w:trPr/>
        <w:tc>
          <w:tcPr>
            <w:tcW w:w="4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33,502</w:t>
            </w:r>
          </w:p>
        </w:tc>
        <w:tc>
          <w:tcPr>
            <w:tcW w:w="8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21,221</w:t>
            </w:r>
          </w:p>
        </w:tc>
        <w:tc>
          <w:tcPr>
            <w:tcW w:w="63" w:type="dxa"/>
            <w:tcBorders/>
            <w:shd w:fill="CCEEFF" w:val="clear"/>
            <w:vAlign w:val="bottom"/>
          </w:tcPr>
          <w:p>
            <w:pPr>
              <w:pStyle w:val="TableContents"/>
              <w:bidi w:val="0"/>
              <w:spacing w:before="0" w:after="283"/>
              <w:jc w:val="left"/>
              <w:rPr/>
            </w:pPr>
            <w:r>
              <w:rPr/>
              <w:t> </w:t>
            </w:r>
          </w:p>
        </w:tc>
      </w:tr>
      <w:tr>
        <w:trPr/>
        <w:tc>
          <w:tcPr>
            <w:tcW w:w="4668" w:type="dxa"/>
            <w:tcBorders/>
          </w:tcPr>
          <w:p>
            <w:pPr>
              <w:pStyle w:val="TableContents"/>
              <w:bidi w:val="0"/>
              <w:spacing w:before="0" w:after="0"/>
              <w:jc w:val="left"/>
              <w:rPr>
                <w:rFonts w:ascii="Times New Roman" w:hAnsi="Times New Roman"/>
                <w:sz w:val="20"/>
              </w:rPr>
            </w:pPr>
            <w:r>
              <w:rPr>
                <w:rFonts w:ascii="Times New Roman" w:hAnsi="Times New Roman"/>
                <w:sz w:val="20"/>
              </w:rPr>
              <w:t>Ireland</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18,940</w:t>
            </w:r>
          </w:p>
        </w:tc>
        <w:tc>
          <w:tcPr>
            <w:tcW w:w="8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16,126</w:t>
            </w:r>
          </w:p>
        </w:tc>
        <w:tc>
          <w:tcPr>
            <w:tcW w:w="63" w:type="dxa"/>
            <w:tcBorders/>
            <w:vAlign w:val="bottom"/>
          </w:tcPr>
          <w:p>
            <w:pPr>
              <w:pStyle w:val="TableContents"/>
              <w:bidi w:val="0"/>
              <w:spacing w:before="0" w:after="283"/>
              <w:jc w:val="left"/>
              <w:rPr/>
            </w:pPr>
            <w:r>
              <w:rPr/>
              <w:t> </w:t>
            </w:r>
          </w:p>
        </w:tc>
      </w:tr>
      <w:tr>
        <w:trPr/>
        <w:tc>
          <w:tcPr>
            <w:tcW w:w="4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4,839</w:t>
            </w:r>
          </w:p>
        </w:tc>
        <w:tc>
          <w:tcPr>
            <w:tcW w:w="8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13,113</w:t>
            </w:r>
          </w:p>
        </w:tc>
        <w:tc>
          <w:tcPr>
            <w:tcW w:w="63" w:type="dxa"/>
            <w:tcBorders/>
            <w:shd w:fill="CCEEFF" w:val="clear"/>
            <w:vAlign w:val="bottom"/>
          </w:tcPr>
          <w:p>
            <w:pPr>
              <w:pStyle w:val="TableContents"/>
              <w:bidi w:val="0"/>
              <w:spacing w:before="0" w:after="283"/>
              <w:jc w:val="left"/>
              <w:rPr/>
            </w:pPr>
            <w:r>
              <w:rPr/>
              <w:t> </w:t>
            </w:r>
          </w:p>
        </w:tc>
      </w:tr>
      <w:tr>
        <w:trPr/>
        <w:tc>
          <w:tcPr>
            <w:tcW w:w="4668"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3,556</w:t>
            </w:r>
          </w:p>
        </w:tc>
        <w:tc>
          <w:tcPr>
            <w:tcW w:w="8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7,663</w:t>
            </w:r>
          </w:p>
        </w:tc>
        <w:tc>
          <w:tcPr>
            <w:tcW w:w="63" w:type="dxa"/>
            <w:tcBorders/>
            <w:vAlign w:val="bottom"/>
          </w:tcPr>
          <w:p>
            <w:pPr>
              <w:pStyle w:val="TableContents"/>
              <w:bidi w:val="0"/>
              <w:spacing w:before="0" w:after="283"/>
              <w:jc w:val="left"/>
              <w:rPr/>
            </w:pPr>
            <w:r>
              <w:rPr/>
              <w:t> </w:t>
            </w:r>
          </w:p>
        </w:tc>
      </w:tr>
      <w:tr>
        <w:trPr/>
        <w:tc>
          <w:tcPr>
            <w:tcW w:w="4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8,401</w:t>
            </w:r>
          </w:p>
        </w:tc>
        <w:tc>
          <w:tcPr>
            <w:tcW w:w="8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5,551</w:t>
            </w:r>
          </w:p>
        </w:tc>
        <w:tc>
          <w:tcPr>
            <w:tcW w:w="63" w:type="dxa"/>
            <w:tcBorders/>
            <w:shd w:fill="CCEEFF" w:val="clear"/>
            <w:vAlign w:val="bottom"/>
          </w:tcPr>
          <w:p>
            <w:pPr>
              <w:pStyle w:val="TableContents"/>
              <w:bidi w:val="0"/>
              <w:spacing w:before="0" w:after="283"/>
              <w:jc w:val="left"/>
              <w:rPr/>
            </w:pPr>
            <w:r>
              <w:rPr/>
              <w:t> </w:t>
            </w:r>
          </w:p>
        </w:tc>
      </w:tr>
      <w:tr>
        <w:trPr/>
        <w:tc>
          <w:tcPr>
            <w:tcW w:w="4668"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8,384</w:t>
            </w:r>
          </w:p>
        </w:tc>
        <w:tc>
          <w:tcPr>
            <w:tcW w:w="8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23,341</w:t>
            </w:r>
          </w:p>
        </w:tc>
        <w:tc>
          <w:tcPr>
            <w:tcW w:w="63" w:type="dxa"/>
            <w:tcBorders/>
            <w:vAlign w:val="bottom"/>
          </w:tcPr>
          <w:p>
            <w:pPr>
              <w:pStyle w:val="TableContents"/>
              <w:bidi w:val="0"/>
              <w:spacing w:before="0" w:after="283"/>
              <w:jc w:val="left"/>
              <w:rPr/>
            </w:pPr>
            <w:r>
              <w:rPr/>
              <w:t> </w:t>
            </w:r>
          </w:p>
        </w:tc>
      </w:tr>
      <w:tr>
        <w:trPr/>
        <w:tc>
          <w:tcPr>
            <w:tcW w:w="4668"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68" w:type="dxa"/>
            <w:tcBorders/>
            <w:shd w:fill="CCEEFF" w:val="clear"/>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365,167</w:t>
            </w:r>
          </w:p>
        </w:tc>
        <w:tc>
          <w:tcPr>
            <w:tcW w:w="87"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793,106</w:t>
            </w:r>
          </w:p>
        </w:tc>
        <w:tc>
          <w:tcPr>
            <w:tcW w:w="63" w:type="dxa"/>
            <w:tcBorders/>
            <w:shd w:fill="CCEEFF" w:val="clear"/>
            <w:vAlign w:val="bottom"/>
          </w:tcPr>
          <w:p>
            <w:pPr>
              <w:pStyle w:val="TableContents"/>
              <w:bidi w:val="0"/>
              <w:spacing w:before="0" w:after="283"/>
              <w:jc w:val="left"/>
              <w:rPr/>
            </w:pPr>
            <w:r>
              <w:rPr/>
              <w:t> </w:t>
            </w:r>
          </w:p>
        </w:tc>
      </w:tr>
      <w:tr>
        <w:trPr/>
        <w:tc>
          <w:tcPr>
            <w:tcW w:w="4668"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Major customers representing at least 10% of net sales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25"/>
        <w:gridCol w:w="224"/>
        <w:gridCol w:w="60"/>
        <w:gridCol w:w="782"/>
        <w:gridCol w:w="60"/>
        <w:gridCol w:w="224"/>
        <w:gridCol w:w="60"/>
        <w:gridCol w:w="263"/>
        <w:gridCol w:w="60"/>
        <w:gridCol w:w="224"/>
        <w:gridCol w:w="60"/>
        <w:gridCol w:w="873"/>
        <w:gridCol w:w="60"/>
        <w:gridCol w:w="224"/>
        <w:gridCol w:w="59"/>
        <w:gridCol w:w="263"/>
        <w:gridCol w:w="67"/>
      </w:tblGrid>
      <w:tr>
        <w:trPr/>
        <w:tc>
          <w:tcPr>
            <w:tcW w:w="582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82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27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7"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7"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23"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3"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center"/>
              <w:rPr>
                <w:b/>
              </w:rPr>
            </w:pPr>
            <w:r>
              <w:rPr>
                <w:b/>
              </w:rPr>
              <w:t>%</w:t>
            </w:r>
          </w:p>
        </w:tc>
        <w:tc>
          <w:tcPr>
            <w:tcW w:w="67" w:type="dxa"/>
            <w:tcBorders/>
            <w:vAlign w:val="bottom"/>
          </w:tcPr>
          <w:p>
            <w:pPr>
              <w:pStyle w:val="TableContents"/>
              <w:bidi w:val="0"/>
              <w:spacing w:before="0" w:after="283"/>
              <w:jc w:val="left"/>
              <w:rPr/>
            </w:pPr>
            <w:r>
              <w:rPr/>
              <w:t> </w:t>
            </w:r>
          </w:p>
        </w:tc>
      </w:tr>
      <w:tr>
        <w:trPr/>
        <w:tc>
          <w:tcPr>
            <w:tcW w:w="5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PHISEMI</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91,285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300,165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right"/>
              <w:rPr/>
            </w:pPr>
            <w:r>
              <w:rPr/>
              <w:t>38</w:t>
            </w:r>
          </w:p>
        </w:tc>
        <w:tc>
          <w:tcPr>
            <w:tcW w:w="67" w:type="dxa"/>
            <w:tcBorders/>
            <w:shd w:fill="CCEEFF" w:val="clear"/>
            <w:vAlign w:val="bottom"/>
          </w:tcPr>
          <w:p>
            <w:pPr>
              <w:pStyle w:val="TableContents"/>
              <w:bidi w:val="0"/>
              <w:spacing w:before="0" w:after="283"/>
              <w:jc w:val="left"/>
              <w:rPr/>
            </w:pPr>
            <w:r>
              <w:rPr/>
              <w:t> </w:t>
            </w:r>
          </w:p>
        </w:tc>
      </w:tr>
      <w:tr>
        <w:trPr/>
        <w:tc>
          <w:tcPr>
            <w:tcW w:w="5825" w:type="dxa"/>
            <w:tcBorders/>
          </w:tcPr>
          <w:p>
            <w:pPr>
              <w:pStyle w:val="TableContents"/>
              <w:bidi w:val="0"/>
              <w:spacing w:before="0" w:after="0"/>
              <w:jc w:val="left"/>
              <w:rPr>
                <w:rFonts w:ascii="Times New Roman" w:hAnsi="Times New Roman"/>
                <w:sz w:val="20"/>
              </w:rPr>
            </w:pPr>
            <w:r>
              <w:rPr>
                <w:rFonts w:ascii="Times New Roman" w:hAnsi="Times New Roman"/>
                <w:sz w:val="20"/>
              </w:rPr>
              <w:t>AFASTOR</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83,243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10</w:t>
            </w:r>
          </w:p>
        </w:tc>
        <w:tc>
          <w:tcPr>
            <w:tcW w:w="67" w:type="dxa"/>
            <w:tcBorders/>
            <w:vAlign w:val="bottom"/>
          </w:tcPr>
          <w:p>
            <w:pPr>
              <w:pStyle w:val="TableContents"/>
              <w:bidi w:val="0"/>
              <w:spacing w:before="0" w:after="283"/>
              <w:jc w:val="left"/>
              <w:rPr/>
            </w:pPr>
            <w:r>
              <w:rPr/>
              <w:t> </w:t>
            </w:r>
          </w:p>
        </w:tc>
      </w:tr>
      <w:tr>
        <w:trPr/>
        <w:tc>
          <w:tcPr>
            <w:tcW w:w="5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Kioxia</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43,387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5825" w:type="dxa"/>
            <w:tcBorders/>
          </w:tcPr>
          <w:p>
            <w:pPr>
              <w:pStyle w:val="TableContents"/>
              <w:bidi w:val="0"/>
              <w:spacing w:before="0" w:after="0"/>
              <w:jc w:val="left"/>
              <w:rPr>
                <w:rFonts w:ascii="Times New Roman" w:hAnsi="Times New Roman"/>
                <w:sz w:val="20"/>
              </w:rPr>
            </w:pPr>
            <w:r>
              <w:rPr>
                <w:rFonts w:ascii="Times New Roman" w:hAnsi="Times New Roman"/>
                <w:sz w:val="20"/>
              </w:rPr>
              <w:t>Micron</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39,306</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58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Longys</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38,427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8909</Words>
  <Characters>50202</Characters>
  <CharactersWithSpaces>61900</CharactersWithSpaces>
  <Paragraphs>4132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