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November 1, 2023</w:t>
      </w:r>
    </w:p>
    <w:p>
      <w:pPr>
        <w:spacing w:after="0" w:line="19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Silicon Motion Technology Corporation</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Flat C, 19/F, Wing Cheong Commercial Building</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Nos 19-25 Jervois Street</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40"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153" w:lineRule="exact"/>
        <w:rPr>
          <w:sz w:val="24"/>
          <w:szCs w:val="24"/>
          <w:color w:val="auto"/>
        </w:rPr>
      </w:pPr>
    </w:p>
    <w:p>
      <w:pPr>
        <w:jc w:val="center"/>
        <w:ind w:right="-219"/>
        <w:spacing w:after="0" w:line="207" w:lineRule="exact"/>
        <w:rPr>
          <w:sz w:val="20"/>
          <w:szCs w:val="20"/>
          <w:color w:val="auto"/>
        </w:rPr>
      </w:pPr>
      <w:r>
        <w:rPr>
          <w:rFonts w:ascii="Arial" w:cs="Arial" w:eastAsia="Arial" w:hAnsi="Arial"/>
          <w:sz w:val="18"/>
          <w:szCs w:val="18"/>
          <w:color w:val="auto"/>
        </w:rPr>
        <w:t>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225"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153" w:lineRule="exact"/>
        <w:rPr>
          <w:sz w:val="24"/>
          <w:szCs w:val="24"/>
          <w:color w:val="auto"/>
        </w:rPr>
      </w:pPr>
    </w:p>
    <w:p>
      <w:pPr>
        <w:jc w:val="center"/>
        <w:ind w:right="-219"/>
        <w:spacing w:after="0" w:line="207" w:lineRule="exact"/>
        <w:rPr>
          <w:sz w:val="20"/>
          <w:szCs w:val="20"/>
          <w:color w:val="auto"/>
        </w:rPr>
      </w:pPr>
      <w:r>
        <w:rPr>
          <w:rFonts w:ascii="Arial" w:cs="Arial" w:eastAsia="Arial" w:hAnsi="Arial"/>
          <w:sz w:val="18"/>
          <w:szCs w:val="18"/>
          <w:color w:val="auto"/>
        </w:rPr>
        <w:t>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Regulation S-T Rule 101(b)(7) only permits the submission in paper of a Form 6-K if submitted to furnish a report or other document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39" w:lineRule="exact"/>
        <w:rPr>
          <w:sz w:val="24"/>
          <w:szCs w:val="24"/>
          <w:color w:val="auto"/>
        </w:rPr>
      </w:pPr>
    </w:p>
    <w:p>
      <w:pPr>
        <w:ind w:left="4740"/>
        <w:spacing w:after="0" w:line="207" w:lineRule="exact"/>
        <w:rPr>
          <w:sz w:val="20"/>
          <w:szCs w:val="20"/>
          <w:color w:val="auto"/>
        </w:rPr>
      </w:pPr>
      <w:r>
        <w:rPr>
          <w:rFonts w:ascii="Arial" w:cs="Arial" w:eastAsia="Arial" w:hAnsi="Arial"/>
          <w:sz w:val="18"/>
          <w:szCs w:val="18"/>
          <w:color w:val="auto"/>
        </w:rPr>
        <w:t>Yes </w:t>
      </w:r>
      <w:r>
        <w:rPr>
          <w:rFonts w:ascii="MS PGothic" w:cs="MS PGothic" w:eastAsia="MS PGothic" w:hAnsi="MS PGothic"/>
          <w:sz w:val="18"/>
          <w:szCs w:val="18"/>
          <w:color w:val="auto"/>
        </w:rPr>
        <w:t>☐</w:t>
      </w:r>
      <w:r>
        <w:rPr>
          <w:rFonts w:ascii="Arial" w:cs="Arial" w:eastAsia="Arial" w:hAnsi="Arial"/>
          <w:sz w:val="18"/>
          <w:szCs w:val="18"/>
          <w:color w:val="auto"/>
        </w:rPr>
        <w:t>   No </w:t>
      </w:r>
      <w:r>
        <w:rPr>
          <w:rFonts w:ascii="MS PGothic" w:cs="MS PGothic" w:eastAsia="MS PGothic" w:hAnsi="MS PGothic"/>
          <w:sz w:val="18"/>
          <w:szCs w:val="18"/>
          <w:color w:val="auto"/>
        </w:rPr>
        <w: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0"/>
          </w:cols>
          <w:pgMar w:left="440" w:top="382" w:right="67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u w:val="single" w:color="auto"/>
          <w:color w:val="0000EE"/>
        </w:rPr>
        <w:t>Press Release issued by the Company on November 1, 2023</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65"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ILICON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OTION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3"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Wallace Kou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Wallace Kou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 and Chief Executive Officer</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Silicon Motion Announces Results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4040"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040" cy="651510"/>
                    </a:xfrm>
                    <a:prstGeom prst="rect">
                      <a:avLst/>
                    </a:prstGeom>
                    <a:noFill/>
                  </pic:spPr>
                </pic:pic>
              </a:graphicData>
            </a:graphic>
          </wp:anchor>
        </w:drawing>
      </w:r>
    </w:p>
    <w:p>
      <w:pPr>
        <w:spacing w:after="0" w:line="7"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auto"/>
        </w:rPr>
        <w:t>Ended September 30,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Highlights</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quarter sales increased 23% Q/Q and decreased 31% Y/Y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SSD controller sales: 3Q increased 5% to 10% Q/Q and decreased 10% to 15% Y/Y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eMMC+UFS controller sales: 3Q increased 100% to 105% Q/Q and decreased 40% to 45% Y/Y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SSD solutions sales: 3Q decreased 5% to 10% Q/Q and decreased 30% to 35% Y/Y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940" w:type="dxa"/>
            <w:vAlign w:val="bottom"/>
            <w:gridSpan w:val="3"/>
          </w:tcPr>
          <w:p>
            <w:pPr>
              <w:ind w:left="920"/>
              <w:spacing w:after="0"/>
              <w:rPr>
                <w:sz w:val="20"/>
                <w:szCs w:val="20"/>
                <w:color w:val="auto"/>
              </w:rPr>
            </w:pPr>
            <w:r>
              <w:rPr>
                <w:rFonts w:ascii="Arial" w:cs="Arial" w:eastAsia="Arial" w:hAnsi="Arial"/>
                <w:sz w:val="14"/>
                <w:szCs w:val="14"/>
                <w:b w:val="1"/>
                <w:bCs w:val="1"/>
                <w:color w:val="auto"/>
              </w:rPr>
              <w:t>3Q 2023 GAAP</w:t>
            </w:r>
          </w:p>
        </w:tc>
        <w:tc>
          <w:tcPr>
            <w:tcW w:w="2780" w:type="dxa"/>
            <w:vAlign w:val="bottom"/>
            <w:gridSpan w:val="2"/>
          </w:tcPr>
          <w:p>
            <w:pPr>
              <w:ind w:left="760"/>
              <w:spacing w:after="0"/>
              <w:rPr>
                <w:sz w:val="20"/>
                <w:szCs w:val="20"/>
                <w:color w:val="auto"/>
              </w:rPr>
            </w:pPr>
            <w:r>
              <w:rPr>
                <w:rFonts w:ascii="Arial" w:cs="Arial" w:eastAsia="Arial" w:hAnsi="Arial"/>
                <w:sz w:val="14"/>
                <w:szCs w:val="14"/>
                <w:b w:val="1"/>
                <w:bCs w:val="1"/>
                <w:color w:val="auto"/>
              </w:rPr>
              <w:t>3Q 2023 Non-GAAP</w:t>
            </w:r>
          </w:p>
        </w:tc>
      </w:tr>
      <w:tr>
        <w:trPr>
          <w:trHeight w:val="209"/>
        </w:trPr>
        <w:tc>
          <w:tcPr>
            <w:tcW w:w="2640" w:type="dxa"/>
            <w:vAlign w:val="bottom"/>
            <w:tcBorders>
              <w:top w:val="single" w:sz="8" w:color="CCEEFF"/>
            </w:tcBorders>
            <w:shd w:val="clear" w:color="auto" w:fill="CCEEFF"/>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 Net sales</w:t>
            </w: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$172.3 million (+23%</w:t>
            </w:r>
          </w:p>
        </w:tc>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w w:val="89"/>
              </w:rPr>
              <w:t>Q/Q, -31</w:t>
            </w:r>
            <w:r>
              <w:rPr>
                <w:rFonts w:ascii="Arial" w:cs="Arial" w:eastAsia="Arial" w:hAnsi="Arial"/>
                <w:sz w:val="18"/>
                <w:szCs w:val="18"/>
                <w:color w:val="auto"/>
                <w:w w:val="89"/>
              </w:rPr>
              <w:t>%</w:t>
            </w:r>
            <w:r>
              <w:rPr>
                <w:rFonts w:ascii="Arial" w:cs="Arial" w:eastAsia="Arial" w:hAnsi="Arial"/>
                <w:sz w:val="18"/>
                <w:szCs w:val="18"/>
                <w:i w:val="1"/>
                <w:iCs w:val="1"/>
                <w:color w:val="auto"/>
                <w:w w:val="89"/>
              </w:rPr>
              <w:t xml:space="preserve"> Y/Y</w:t>
            </w:r>
            <w:r>
              <w:rPr>
                <w:rFonts w:ascii="Arial" w:cs="Arial" w:eastAsia="Arial" w:hAnsi="Arial"/>
                <w:sz w:val="18"/>
                <w:szCs w:val="18"/>
                <w:color w:val="auto"/>
                <w:w w:val="89"/>
              </w:rPr>
              <w:t>)</w:t>
            </w:r>
          </w:p>
        </w:tc>
        <w:tc>
          <w:tcPr>
            <w:tcW w:w="1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$172.3 million (+23%</w:t>
            </w: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w w:val="89"/>
              </w:rPr>
              <w:t>Q/Q, -31</w:t>
            </w:r>
            <w:r>
              <w:rPr>
                <w:rFonts w:ascii="Arial" w:cs="Arial" w:eastAsia="Arial" w:hAnsi="Arial"/>
                <w:sz w:val="18"/>
                <w:szCs w:val="18"/>
                <w:color w:val="auto"/>
                <w:w w:val="89"/>
              </w:rPr>
              <w:t>%</w:t>
            </w:r>
            <w:r>
              <w:rPr>
                <w:rFonts w:ascii="Arial" w:cs="Arial" w:eastAsia="Arial" w:hAnsi="Arial"/>
                <w:sz w:val="18"/>
                <w:szCs w:val="18"/>
                <w:i w:val="1"/>
                <w:iCs w:val="1"/>
                <w:color w:val="auto"/>
                <w:w w:val="89"/>
              </w:rPr>
              <w:t xml:space="preserve"> Y/Y</w:t>
            </w:r>
            <w:r>
              <w:rPr>
                <w:rFonts w:ascii="Arial" w:cs="Arial" w:eastAsia="Arial" w:hAnsi="Arial"/>
                <w:sz w:val="18"/>
                <w:szCs w:val="18"/>
                <w:color w:val="auto"/>
                <w:w w:val="89"/>
              </w:rPr>
              <w:t>)</w:t>
            </w:r>
          </w:p>
        </w:tc>
      </w:tr>
      <w:tr>
        <w:trPr>
          <w:trHeight w:val="216"/>
        </w:trPr>
        <w:tc>
          <w:tcPr>
            <w:tcW w:w="26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 Gross margin</w:t>
            </w:r>
          </w:p>
        </w:tc>
        <w:tc>
          <w:tcPr>
            <w:tcW w:w="1620" w:type="dxa"/>
            <w:vAlign w:val="bottom"/>
          </w:tcPr>
          <w:p>
            <w:pPr>
              <w:jc w:val="center"/>
              <w:ind w:left="1074"/>
              <w:spacing w:after="0"/>
              <w:rPr>
                <w:sz w:val="20"/>
                <w:szCs w:val="20"/>
                <w:color w:val="auto"/>
              </w:rPr>
            </w:pPr>
            <w:r>
              <w:rPr>
                <w:rFonts w:ascii="Arial" w:cs="Arial" w:eastAsia="Arial" w:hAnsi="Arial"/>
                <w:sz w:val="18"/>
                <w:szCs w:val="18"/>
                <w:color w:val="auto"/>
                <w:w w:val="90"/>
              </w:rPr>
              <w:t>42.4%</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left="1054"/>
              <w:spacing w:after="0"/>
              <w:rPr>
                <w:sz w:val="20"/>
                <w:szCs w:val="20"/>
                <w:color w:val="auto"/>
              </w:rPr>
            </w:pPr>
            <w:r>
              <w:rPr>
                <w:rFonts w:ascii="Arial" w:cs="Arial" w:eastAsia="Arial" w:hAnsi="Arial"/>
                <w:sz w:val="18"/>
                <w:szCs w:val="18"/>
                <w:color w:val="auto"/>
                <w:w w:val="90"/>
              </w:rPr>
              <w:t>42.5%</w:t>
            </w:r>
          </w:p>
        </w:tc>
        <w:tc>
          <w:tcPr>
            <w:tcW w:w="1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 Operating margin</w:t>
            </w:r>
          </w:p>
        </w:tc>
        <w:tc>
          <w:tcPr>
            <w:tcW w:w="1620" w:type="dxa"/>
            <w:vAlign w:val="bottom"/>
            <w:shd w:val="clear" w:color="auto" w:fill="CCEEFF"/>
          </w:tcPr>
          <w:p>
            <w:pPr>
              <w:jc w:val="center"/>
              <w:ind w:left="1074"/>
              <w:spacing w:after="0"/>
              <w:rPr>
                <w:sz w:val="20"/>
                <w:szCs w:val="20"/>
                <w:color w:val="auto"/>
              </w:rPr>
            </w:pPr>
            <w:r>
              <w:rPr>
                <w:rFonts w:ascii="Arial" w:cs="Arial" w:eastAsia="Arial" w:hAnsi="Arial"/>
                <w:sz w:val="18"/>
                <w:szCs w:val="18"/>
                <w:color w:val="auto"/>
                <w:w w:val="92"/>
              </w:rPr>
              <w:t>8.7%</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90"/>
              </w:rPr>
              <w:t>13.8%</w:t>
            </w:r>
          </w:p>
        </w:tc>
        <w:tc>
          <w:tcPr>
            <w:tcW w:w="1140" w:type="dxa"/>
            <w:vAlign w:val="bottom"/>
            <w:shd w:val="clear" w:color="auto" w:fill="CCEEFF"/>
          </w:tcPr>
          <w:p>
            <w:pPr>
              <w:spacing w:after="0"/>
              <w:rPr>
                <w:sz w:val="18"/>
                <w:szCs w:val="18"/>
                <w:color w:val="auto"/>
              </w:rPr>
            </w:pPr>
          </w:p>
        </w:tc>
      </w:tr>
      <w:tr>
        <w:trPr>
          <w:trHeight w:val="303"/>
        </w:trPr>
        <w:tc>
          <w:tcPr>
            <w:tcW w:w="26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 Earnings per diluted ADS</w:t>
            </w:r>
          </w:p>
        </w:tc>
        <w:tc>
          <w:tcPr>
            <w:tcW w:w="1620" w:type="dxa"/>
            <w:vAlign w:val="bottom"/>
          </w:tcPr>
          <w:p>
            <w:pPr>
              <w:jc w:val="center"/>
              <w:ind w:left="1074"/>
              <w:spacing w:after="0"/>
              <w:rPr>
                <w:sz w:val="20"/>
                <w:szCs w:val="20"/>
                <w:color w:val="auto"/>
              </w:rPr>
            </w:pPr>
            <w:r>
              <w:rPr>
                <w:rFonts w:ascii="Arial" w:cs="Arial" w:eastAsia="Arial" w:hAnsi="Arial"/>
                <w:sz w:val="18"/>
                <w:szCs w:val="18"/>
                <w:color w:val="auto"/>
                <w:w w:val="93"/>
              </w:rPr>
              <w:t>$0.32</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left="1054"/>
              <w:spacing w:after="0"/>
              <w:rPr>
                <w:sz w:val="20"/>
                <w:szCs w:val="20"/>
                <w:color w:val="auto"/>
              </w:rPr>
            </w:pPr>
            <w:r>
              <w:rPr>
                <w:rFonts w:ascii="Arial" w:cs="Arial" w:eastAsia="Arial" w:hAnsi="Arial"/>
                <w:sz w:val="18"/>
                <w:szCs w:val="18"/>
                <w:color w:val="auto"/>
                <w:w w:val="93"/>
              </w:rPr>
              <w:t>$0.63</w:t>
            </w:r>
          </w:p>
        </w:tc>
        <w:tc>
          <w:tcPr>
            <w:tcW w:w="1140" w:type="dxa"/>
            <w:vAlign w:val="bottom"/>
          </w:tcPr>
          <w:p>
            <w:pPr>
              <w:spacing w:after="0"/>
              <w:rPr>
                <w:sz w:val="24"/>
                <w:szCs w:val="24"/>
                <w:color w:val="auto"/>
              </w:rPr>
            </w:pPr>
          </w:p>
        </w:tc>
      </w:tr>
    </w:tbl>
    <w:p>
      <w:pPr>
        <w:spacing w:after="0" w:line="11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 xml:space="preserve">TAIPEI, Taiwan and MILPITAS, Calif., November 2, 2023 </w:t>
      </w:r>
      <w:r>
        <w:rPr>
          <w:rFonts w:ascii="Arial" w:cs="Arial" w:eastAsia="Arial" w:hAnsi="Arial"/>
          <w:sz w:val="18"/>
          <w:szCs w:val="18"/>
          <w:color w:val="auto"/>
        </w:rPr>
        <w:t>– Silicon Motion Technology Corporation (NasdaqGS: SIMO) (“Silicon Motion”,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“we”) today announced its financial results for the quarter ended September 30, 2023. For the third quarter of 2023, net sales (GAAP) increased sequentially to $172.3 million from $140.4 million in the second quarter of 2023. Net income (GAAP) decreased to $10.6 million, or $0.32 per diluted American Depositary Share of the Company (“ADS”) (GAAP), from net income (GAAP) of $11.0 million, or $0.33 per diluted ADS (GAAP), in the second quarter of 2023.</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third quarter of 2023, net income (non-GAAP) increased to $21.1 million, or $0.63 per diluted ADS (non-GAAP), from net income (non-GAAP) of $12.6 million, or $0.38 per diluted ADS (non-GAAP), in the second quarter of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2023 Review</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“We’re pleased with our strong performance in the third quarter as we began to see inventory levels in the channel normalize and OEM order patterns accelerate ahead of the anticipated holiday season demand,” said Wallace Kou, President and CEO of Silicon Motion. “eMMC+UFS sales rebounded while our SSD controller sales again saw sequential growth. Our continuing investment in technology leadership in storage controllers has expanded our customer base for SSD and eMMC+UFS controllers and diversified our end-markets, leading to more stable and sustainable long-term growth.”</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Financial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gridSpan w:val="4"/>
            <w:vMerge w:val="restart"/>
          </w:tcPr>
          <w:p>
            <w:pPr>
              <w:spacing w:after="0"/>
              <w:rPr>
                <w:sz w:val="20"/>
                <w:szCs w:val="20"/>
                <w:color w:val="auto"/>
              </w:rPr>
            </w:pPr>
            <w:r>
              <w:rPr>
                <w:rFonts w:ascii="Arial" w:cs="Arial" w:eastAsia="Arial" w:hAnsi="Arial"/>
                <w:sz w:val="14"/>
                <w:szCs w:val="14"/>
                <w:i w:val="1"/>
                <w:iCs w:val="1"/>
                <w:color w:val="auto"/>
                <w:w w:val="92"/>
              </w:rPr>
              <w:t>(in millions, except percentages and per ADS amounts)</w:t>
            </w: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GAAP</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Non-GAAP</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tcBorders>
              <w:bottom w:val="single" w:sz="8" w:color="auto"/>
            </w:tcBorders>
            <w:gridSpan w:val="4"/>
            <w:vMerge w:val="continue"/>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3Q 2023</w:t>
            </w:r>
          </w:p>
        </w:tc>
        <w:tc>
          <w:tcPr>
            <w:tcW w:w="88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3"/>
              </w:rPr>
              <w:t>2Q 2023</w:t>
            </w:r>
          </w:p>
        </w:tc>
        <w:tc>
          <w:tcPr>
            <w:tcW w:w="5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3"/>
              </w:rPr>
              <w:t>3Q 2022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6"/>
          </w:tcPr>
          <w:p>
            <w:pPr>
              <w:jc w:val="right"/>
              <w:ind w:right="288"/>
              <w:spacing w:after="0" w:line="129" w:lineRule="exact"/>
              <w:rPr>
                <w:sz w:val="20"/>
                <w:szCs w:val="20"/>
                <w:color w:val="auto"/>
              </w:rPr>
            </w:pPr>
            <w:r>
              <w:rPr>
                <w:rFonts w:ascii="Arial" w:cs="Arial" w:eastAsia="Arial" w:hAnsi="Arial"/>
                <w:sz w:val="14"/>
                <w:szCs w:val="14"/>
                <w:b w:val="1"/>
                <w:bCs w:val="1"/>
                <w:color w:val="auto"/>
                <w:w w:val="93"/>
              </w:rPr>
              <w:t>3Q 2023</w:t>
            </w:r>
          </w:p>
        </w:tc>
        <w:tc>
          <w:tcPr>
            <w:tcW w:w="720" w:type="dxa"/>
            <w:vAlign w:val="bottom"/>
            <w:gridSpan w:val="5"/>
          </w:tcPr>
          <w:p>
            <w:pPr>
              <w:jc w:val="right"/>
              <w:ind w:right="220"/>
              <w:spacing w:after="0" w:line="129" w:lineRule="exact"/>
              <w:rPr>
                <w:sz w:val="20"/>
                <w:szCs w:val="20"/>
                <w:color w:val="auto"/>
              </w:rPr>
            </w:pPr>
            <w:r>
              <w:rPr>
                <w:rFonts w:ascii="Arial" w:cs="Arial" w:eastAsia="Arial" w:hAnsi="Arial"/>
                <w:sz w:val="14"/>
                <w:szCs w:val="14"/>
                <w:b w:val="1"/>
                <w:bCs w:val="1"/>
                <w:color w:val="auto"/>
                <w:w w:val="89"/>
              </w:rPr>
              <w:t>2Q 2023</w:t>
            </w:r>
          </w:p>
        </w:tc>
        <w:tc>
          <w:tcPr>
            <w:tcW w:w="160" w:type="dxa"/>
            <w:vAlign w:val="bottom"/>
          </w:tcPr>
          <w:p>
            <w:pPr>
              <w:spacing w:after="0"/>
              <w:rPr>
                <w:sz w:val="12"/>
                <w:szCs w:val="12"/>
                <w:color w:val="auto"/>
              </w:rPr>
            </w:pP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3Q 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172.3</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140.4</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$250.8</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$172.3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$140.4</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250.8</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56.4</w:t>
            </w:r>
          </w:p>
        </w:tc>
        <w:tc>
          <w:tcPr>
            <w:tcW w:w="740" w:type="dxa"/>
            <w:vAlign w:val="bottom"/>
            <w:gridSpan w:val="5"/>
          </w:tcPr>
          <w:p>
            <w:pPr>
              <w:jc w:val="right"/>
              <w:ind w:right="220"/>
              <w:spacing w:after="0"/>
              <w:rPr>
                <w:sz w:val="20"/>
                <w:szCs w:val="20"/>
                <w:color w:val="auto"/>
              </w:rPr>
            </w:pPr>
            <w:r>
              <w:rPr>
                <w:rFonts w:ascii="Arial" w:cs="Arial" w:eastAsia="Arial" w:hAnsi="Arial"/>
                <w:sz w:val="18"/>
                <w:szCs w:val="18"/>
                <w:color w:val="auto"/>
                <w:w w:val="83"/>
              </w:rPr>
              <w:t>$ 119.1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18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59.7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119.3</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360"/>
              <w:spacing w:after="0"/>
              <w:rPr>
                <w:sz w:val="20"/>
                <w:szCs w:val="20"/>
                <w:color w:val="auto"/>
              </w:rPr>
            </w:pPr>
            <w:r>
              <w:rPr>
                <w:rFonts w:ascii="Arial" w:cs="Arial" w:eastAsia="Arial" w:hAnsi="Arial"/>
                <w:sz w:val="18"/>
                <w:szCs w:val="18"/>
                <w:i w:val="1"/>
                <w:iCs w:val="1"/>
                <w:color w:val="auto"/>
              </w:rPr>
              <w:t>Percent of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42.4%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40.2%</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i w:val="1"/>
                <w:iCs w:val="1"/>
                <w:color w:val="auto"/>
                <w:w w:val="97"/>
              </w:rPr>
              <w:t>47.5%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i w:val="1"/>
                <w:iCs w:val="1"/>
                <w:color w:val="auto"/>
                <w:w w:val="97"/>
              </w:rPr>
              <w:t>42.5%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47.6%</w:t>
            </w:r>
          </w:p>
        </w:tc>
        <w:tc>
          <w:tcPr>
            <w:tcW w:w="0" w:type="dxa"/>
            <w:vAlign w:val="bottom"/>
          </w:tcPr>
          <w:p>
            <w:pPr>
              <w:spacing w:after="0"/>
              <w:rPr>
                <w:sz w:val="1"/>
                <w:szCs w:val="1"/>
                <w:color w:val="auto"/>
              </w:rPr>
            </w:pPr>
          </w:p>
        </w:tc>
      </w:tr>
      <w:tr>
        <w:trPr>
          <w:trHeight w:val="216"/>
        </w:trPr>
        <w:tc>
          <w:tcPr>
            <w:tcW w:w="31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54.6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220"/>
              <w:spacing w:after="0"/>
              <w:rPr>
                <w:sz w:val="20"/>
                <w:szCs w:val="20"/>
                <w:color w:val="auto"/>
              </w:rPr>
            </w:pPr>
            <w:r>
              <w:rPr>
                <w:rFonts w:ascii="Arial" w:cs="Arial" w:eastAsia="Arial" w:hAnsi="Arial"/>
                <w:sz w:val="18"/>
                <w:szCs w:val="18"/>
                <w:color w:val="auto"/>
              </w:rPr>
              <w:t>63.8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18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48.0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180" w:type="dxa"/>
            <w:vAlign w:val="bottom"/>
            <w:gridSpan w:val="4"/>
          </w:tcPr>
          <w:p>
            <w:pPr>
              <w:ind w:left="360"/>
              <w:spacing w:after="0"/>
              <w:rPr>
                <w:sz w:val="20"/>
                <w:szCs w:val="20"/>
                <w:color w:val="auto"/>
              </w:rPr>
            </w:pPr>
            <w:r>
              <w:rPr>
                <w:rFonts w:ascii="Arial" w:cs="Arial" w:eastAsia="Arial" w:hAnsi="Arial"/>
                <w:sz w:val="18"/>
                <w:szCs w:val="18"/>
                <w:i w:val="1"/>
                <w:iCs w:val="1"/>
                <w:color w:val="auto"/>
              </w:rPr>
              <w:t>Percent of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1.3%</w:t>
            </w:r>
          </w:p>
        </w:tc>
        <w:tc>
          <w:tcPr>
            <w:tcW w:w="140" w:type="dxa"/>
            <w:vAlign w:val="bottom"/>
          </w:tcPr>
          <w:p>
            <w:pPr>
              <w:spacing w:after="0"/>
              <w:rPr>
                <w:sz w:val="18"/>
                <w:szCs w:val="18"/>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i w:val="1"/>
                <w:iCs w:val="1"/>
                <w:color w:val="auto"/>
                <w:w w:val="97"/>
              </w:rPr>
              <w:t>22.1%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w w:val="97"/>
              </w:rPr>
              <w:t>13.8%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w w:val="97"/>
              </w:rPr>
              <w:t>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25.0%</w:t>
            </w: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diluted ADS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500"/>
        </w:trPr>
        <w:tc>
          <w:tcPr>
            <w:tcW w:w="3180" w:type="dxa"/>
            <w:vAlign w:val="bottom"/>
            <w:gridSpan w:val="4"/>
          </w:tcPr>
          <w:p>
            <w:pPr>
              <w:spacing w:after="0"/>
              <w:rPr>
                <w:sz w:val="20"/>
                <w:szCs w:val="20"/>
                <w:color w:val="auto"/>
              </w:rPr>
            </w:pPr>
            <w:r>
              <w:rPr>
                <w:rFonts w:ascii="Arial" w:cs="Arial" w:eastAsia="Arial" w:hAnsi="Arial"/>
                <w:sz w:val="18"/>
                <w:szCs w:val="18"/>
                <w:color w:val="auto"/>
              </w:rPr>
              <w:t>Other Financial Information</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top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42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Arial" w:cs="Arial" w:eastAsia="Arial" w:hAnsi="Arial"/>
                <w:sz w:val="14"/>
                <w:szCs w:val="14"/>
                <w:b w:val="1"/>
                <w:bCs w:val="1"/>
                <w:color w:val="auto"/>
              </w:rPr>
              <w:t>3Q 2023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2Q 2023</w:t>
            </w:r>
          </w:p>
        </w:tc>
        <w:tc>
          <w:tcPr>
            <w:tcW w:w="120" w:type="dxa"/>
            <w:vAlign w:val="bottom"/>
          </w:tcPr>
          <w:p>
            <w:pPr>
              <w:spacing w:after="0"/>
              <w:rPr>
                <w:sz w:val="24"/>
                <w:szCs w:val="24"/>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6"/>
              </w:rPr>
              <w:t>3Q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900" w:type="dxa"/>
            <w:vAlign w:val="bottom"/>
            <w:tcBorders>
              <w:top w:val="single" w:sz="8" w:color="CCEEFF"/>
            </w:tcBorders>
            <w:gridSpan w:val="7"/>
            <w:shd w:val="clear" w:color="auto" w:fill="CCEEFF"/>
          </w:tcPr>
          <w:p>
            <w:pPr>
              <w:spacing w:after="0" w:line="203" w:lineRule="exact"/>
              <w:rPr>
                <w:sz w:val="20"/>
                <w:szCs w:val="20"/>
                <w:color w:val="auto"/>
              </w:rPr>
            </w:pPr>
            <w:r>
              <w:rPr>
                <w:rFonts w:ascii="Arial" w:cs="Arial" w:eastAsia="Arial" w:hAnsi="Arial"/>
                <w:sz w:val="18"/>
                <w:szCs w:val="18"/>
                <w:color w:val="auto"/>
                <w:w w:val="89"/>
              </w:rPr>
              <w:t>Cash, cash equivalents, restricted cash and short-term investments—end of period</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350.3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305.0</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88"/>
              </w:rPr>
              <w:t>253.9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Routine capital expenditures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59"/>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8"/>
                <w:szCs w:val="18"/>
                <w:color w:val="auto"/>
              </w:rPr>
              <w:t>Share repurchases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4"/>
          </w:tcPr>
          <w:p>
            <w:pPr>
              <w:jc w:val="right"/>
              <w:ind w:right="59"/>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$0.1m ADS cancellation fee for shares repurchased in prior quarter.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third quarter of 2023, we had $17.1 million of capital expenditures, including $6.3 million for the routine purchase of testing equipment, software, design tools and other items, and $10.8 million for building construction in Hsinchu.</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Update</w:t>
      </w:r>
    </w:p>
    <w:p>
      <w:pPr>
        <w:spacing w:after="0" w:line="117" w:lineRule="exact"/>
        <w:rPr>
          <w:sz w:val="20"/>
          <w:szCs w:val="20"/>
          <w:color w:val="auto"/>
        </w:rPr>
      </w:pPr>
    </w:p>
    <w:p>
      <w:pPr>
        <w:jc w:val="both"/>
        <w:ind w:left="4" w:right="100"/>
        <w:spacing w:after="0" w:line="254" w:lineRule="auto"/>
        <w:rPr>
          <w:sz w:val="20"/>
          <w:szCs w:val="20"/>
          <w:color w:val="auto"/>
        </w:rPr>
      </w:pPr>
      <w:r>
        <w:rPr>
          <w:rFonts w:ascii="Arial" w:cs="Arial" w:eastAsia="Arial" w:hAnsi="Arial"/>
          <w:sz w:val="18"/>
          <w:szCs w:val="18"/>
          <w:color w:val="auto"/>
        </w:rPr>
        <w:t>On May 5, 2022, Silicon Motion and MaxLinear, Inc. (“MaxLinear”) entered into a merger agreement (the “Merger Agreement”), pursuant to which Silicon Motion agreed to be acquired by MaxLinear, with (a) holders of Silicon Motion ordinary shares, par value $0.01 (each, a “Share”), to receive $23.385 in cash and 0.097 shares of MaxLinear common stock, par value $0.0001(“MaxLinear Common Stock”) for each Share that they hold (other than certain customary excluded Shares), and (b) ADS holders to receive $93.54 in cash and 0.388 shares of MaxLinear Common Stock for each ADS that they hold (other than ADSs representing certain customary excluded Shares), in each case, with cash in lieu of any fractional shares of MaxLinear Common Stock (collectively, the “Transaction”). On August 31, 2022, shareholders at Silicon Motion’s Extraordinary General Meeting of Shareholders approved the Transaction.</w:t>
      </w:r>
    </w:p>
    <w:p>
      <w:pPr>
        <w:spacing w:after="0" w:line="195"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On July 26, 2023, Silicon Motion and MaxLinear received antitrust approval from the State Administration for Market Regulation of the People’s Republic of China (“SAMR Approval”). Shortly after receiving SAMR Approval, Silicon Motion received notice from MaxLinear of its purported termination of the Merger Agreement. MaxLinear did not provide any factual basis for its purported termination, and Silicon Motion believes its actions constituted a willful and material breach of the Merger Agreement. Silicon Motion has filed a claim in the Singapore International Arbitration Centre, which is the venue for dispute resolution under the Merger Agreement, and is pursuing payment of the termination fee of $160 million, further substantial damages, interest and costs.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121"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“We expect our business to continue to rebound in the fourth quarter as channel inventory normalizes and OEM demand further improves, leading to better-than-seasonal sequential revenue growth,” said Wallace Kou, President and CEO of Silicon Motion. “Order patterns and visibility have improved significantly since the start of this year and with inventory levels normalizing and a strong pipeline of design wins, we are well positioned to deliver growth in 2024.”</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fourth quarter of 2023, management expects: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GAAP</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Non-GAAP Adjustment</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9"/>
              </w:rPr>
              <w:t>Non-GAAP</w:t>
            </w:r>
          </w:p>
        </w:tc>
      </w:tr>
      <w:tr>
        <w:trPr>
          <w:trHeight w:val="195"/>
        </w:trPr>
        <w:tc>
          <w:tcPr>
            <w:tcW w:w="278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$190m to $198m</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$190m to $198m</w:t>
            </w: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Revenue</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 to 15% Q/Q</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— </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+10% to 15% Q/Q</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Gross margin</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42.4% to 43.4%</w:t>
            </w: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Approximately $0.2m*</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42.5% to 43.5%</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Operating margin</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7.8% to 10.6%</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Approximately $9.8 m to $10.8m**</w:t>
            </w:r>
          </w:p>
        </w:tc>
        <w:tc>
          <w:tcPr>
            <w:tcW w:w="2640" w:type="dxa"/>
            <w:vAlign w:val="bottom"/>
          </w:tcPr>
          <w:p>
            <w:pPr>
              <w:jc w:val="center"/>
              <w:spacing w:after="0"/>
              <w:rPr>
                <w:sz w:val="20"/>
                <w:szCs w:val="20"/>
                <w:color w:val="auto"/>
              </w:rPr>
            </w:pPr>
            <w:r>
              <w:rPr>
                <w:rFonts w:ascii="Arial" w:cs="Arial" w:eastAsia="Arial" w:hAnsi="Arial"/>
                <w:sz w:val="18"/>
                <w:szCs w:val="18"/>
                <w:color w:val="auto"/>
                <w:w w:val="91"/>
              </w:rPr>
              <w:t>13.5% to 15.5%</w:t>
            </w: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  Projected gross margin (non-GAAP) excludes $0.2 million of stock-based compensation.</w:t>
      </w:r>
    </w:p>
    <w:p>
      <w:pPr>
        <w:spacing w:after="0" w:line="23"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Projected operating margin (non-GAAP) excludes $9.8 million to $10.8 million of stock-based compensation and MaxLinear arbitration expenses.</w:t>
      </w:r>
    </w:p>
    <w:p>
      <w:pPr>
        <w:spacing w:after="0" w:line="166" w:lineRule="exact"/>
        <w:rPr>
          <w:rFonts w:ascii="Arial" w:cs="Arial" w:eastAsia="Arial" w:hAnsi="Arial"/>
          <w:sz w:val="16"/>
          <w:szCs w:val="16"/>
          <w:color w:val="auto"/>
        </w:rPr>
      </w:pPr>
    </w:p>
    <w:p>
      <w:pPr>
        <w:ind w:left="5464"/>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Conference Call &amp;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team will conduct a conference call at 8:00 am Eastern Time on November 2,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must register in advance to join the conference call using the link provided below. Conference access information (including dial-in information and a unique access PIN) will be provided in the email received upon registration.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Online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https://register.vevent.com/register/BI16f0e4890c1649e6a5b1329a7fae14da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webcast of the call will be available on the Company’s website at </w:t>
      </w:r>
      <w:r>
        <w:rPr>
          <w:rFonts w:ascii="Arial" w:cs="Arial" w:eastAsia="Arial" w:hAnsi="Arial"/>
          <w:sz w:val="18"/>
          <w:szCs w:val="18"/>
          <w:u w:val="single" w:color="auto"/>
          <w:color w:val="auto"/>
        </w:rPr>
        <w:t>www.siliconmotion.com.</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60"/>
          </w:cols>
          <w:pgMar w:left="440" w:top="270" w:right="10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Discussion of Non-GAAP Financial Measures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supplement the Company’s unaudited selected financial results calculated in accordance with U.S. Generally Accepted Accounting Principles (“GAAP”), the Company discloses certain non-GAAP financial measures that exclude stock-based compensation and other items, including gross profit (non-GAAP), operating expenses (non-GAAP), operating income (non-GAAP), net income (non-GAAP), and earnings per diluted ADS (non-GAAP). These non-GAAP measures are not in accordance with or an alternative to GAAP and may be different from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w:t>
      </w:r>
    </w:p>
    <w:p>
      <w:pPr>
        <w:spacing w:after="0" w:line="102"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make more meaningful period-to-period comparisons of the Company’s on-going operating results;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better identify trends in the Company’s underlying business and perform related trend analysis;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 and</w:t>
      </w:r>
    </w:p>
    <w:p>
      <w:pPr>
        <w:spacing w:after="0" w:line="130" w:lineRule="exact"/>
        <w:rPr>
          <w:rFonts w:ascii="Arial" w:cs="Arial" w:eastAsia="Arial" w:hAnsi="Arial"/>
          <w:sz w:val="18"/>
          <w:szCs w:val="18"/>
          <w:color w:val="auto"/>
        </w:rPr>
      </w:pPr>
    </w:p>
    <w:p>
      <w:pPr>
        <w:ind w:left="960" w:right="2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easier way to compare the Company’s operating results against analyst financial models and operating results of our competitors that supplement their GAAP results with non-GAAP financial measures.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are explanations of each of the adjustments that we incorporate into our non-GAAP measures, as well as the reasons for excluding each of these individual items in our reconciliation of these non-GAAP financial measures: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8" w:name="page9"/>
    <w:bookmarkEnd w:id="8"/>
    <w:p>
      <w:pPr>
        <w:ind w:right="140"/>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Stock-based compensation expense </w:t>
      </w:r>
      <w:r>
        <w:rPr>
          <w:rFonts w:ascii="Arial" w:cs="Arial" w:eastAsia="Arial" w:hAnsi="Arial"/>
          <w:sz w:val="17"/>
          <w:szCs w:val="17"/>
          <w:color w:val="auto"/>
        </w:rPr>
        <w:t>consists of non-cash charges related to the fair value of restricted stock units awarded to employees.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relate to the restructuring of our underperforming product lines, principally the write-down of NAND flash, embedded DRAM</w:t>
      </w:r>
      <w:r>
        <w:rPr>
          <w:rFonts w:ascii="Arial" w:cs="Arial" w:eastAsia="Arial" w:hAnsi="Arial"/>
          <w:sz w:val="18"/>
          <w:szCs w:val="18"/>
          <w:i w:val="1"/>
          <w:iCs w:val="1"/>
          <w:color w:val="auto"/>
        </w:rPr>
        <w:t xml:space="preserve"> </w:t>
      </w:r>
      <w:r>
        <w:rPr>
          <w:rFonts w:ascii="Arial" w:cs="Arial" w:eastAsia="Arial" w:hAnsi="Arial"/>
          <w:sz w:val="18"/>
          <w:szCs w:val="18"/>
          <w:color w:val="auto"/>
        </w:rPr>
        <w:t>and SSD inventory valuation and severance payments.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M&amp;A transaction expenses </w:t>
      </w:r>
      <w:r>
        <w:rPr>
          <w:rFonts w:ascii="Arial" w:cs="Arial" w:eastAsia="Arial" w:hAnsi="Arial"/>
          <w:sz w:val="18"/>
          <w:szCs w:val="18"/>
          <w:color w:val="auto"/>
        </w:rPr>
        <w:t>consist of legal, financial advisory and other fees related to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MaxLinear arbitration expenses </w:t>
      </w:r>
      <w:r>
        <w:rPr>
          <w:rFonts w:ascii="Arial" w:cs="Arial" w:eastAsia="Arial" w:hAnsi="Arial"/>
          <w:sz w:val="18"/>
          <w:szCs w:val="18"/>
          <w:color w:val="auto"/>
        </w:rPr>
        <w:t>consist of legal, consultant and other fees related arbitration against MaxLinear.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 from settlement of litigation </w:t>
      </w:r>
      <w:r>
        <w:rPr>
          <w:rFonts w:ascii="Arial" w:cs="Arial" w:eastAsia="Arial" w:hAnsi="Arial"/>
          <w:sz w:val="18"/>
          <w:szCs w:val="18"/>
          <w:color w:val="auto"/>
        </w:rPr>
        <w:t>relates to an expense accrued in connection with a settlement of a lawsuit.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Foreign exchange loss (gain) </w:t>
      </w:r>
      <w:r>
        <w:rPr>
          <w:rFonts w:ascii="Arial" w:cs="Arial" w:eastAsia="Arial" w:hAnsi="Arial"/>
          <w:sz w:val="17"/>
          <w:szCs w:val="17"/>
          <w:color w:val="auto"/>
        </w:rPr>
        <w:t>consists of translation gains and/or losses of non-US$ denominated current assets and current liabilities, as well as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Unrealized holding loss (gain) on investments </w:t>
      </w:r>
      <w:r>
        <w:rPr>
          <w:rFonts w:ascii="Arial" w:cs="Arial" w:eastAsia="Arial" w:hAnsi="Arial"/>
          <w:sz w:val="18"/>
          <w:szCs w:val="18"/>
          <w:color w:val="auto"/>
        </w:rPr>
        <w:t>relates to the difference between market value and cost of long-term investments.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percentages and per ADS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Three Months Ended</w:t>
            </w: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Year Ended</w:t>
            </w:r>
          </w:p>
        </w:tc>
      </w:tr>
      <w:tr>
        <w:trPr>
          <w:trHeight w:val="119"/>
        </w:trPr>
        <w:tc>
          <w:tcPr>
            <w:tcW w:w="45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 30,</w:t>
            </w:r>
          </w:p>
        </w:tc>
        <w:tc>
          <w:tcPr>
            <w:tcW w:w="9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Jun. 30,</w:t>
            </w:r>
          </w:p>
        </w:tc>
        <w:tc>
          <w:tcPr>
            <w:tcW w:w="66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Sep. 30,</w:t>
            </w:r>
          </w:p>
        </w:tc>
        <w:tc>
          <w:tcPr>
            <w:tcW w:w="30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220" w:type="dxa"/>
            <w:vAlign w:val="bottom"/>
          </w:tcPr>
          <w:p>
            <w:pPr>
              <w:spacing w:after="0"/>
              <w:rPr>
                <w:sz w:val="10"/>
                <w:szCs w:val="10"/>
                <w:color w:val="auto"/>
              </w:rPr>
            </w:pPr>
          </w:p>
        </w:tc>
      </w:tr>
      <w:tr>
        <w:trPr>
          <w:trHeight w:val="149"/>
        </w:trPr>
        <w:tc>
          <w:tcPr>
            <w:tcW w:w="4540" w:type="dxa"/>
            <w:vAlign w:val="bottom"/>
          </w:tcPr>
          <w:p>
            <w:pPr>
              <w:spacing w:after="0"/>
              <w:rPr>
                <w:sz w:val="12"/>
                <w:szCs w:val="12"/>
                <w:color w:val="auto"/>
              </w:rPr>
            </w:pPr>
          </w:p>
        </w:tc>
        <w:tc>
          <w:tcPr>
            <w:tcW w:w="2440" w:type="dxa"/>
            <w:vAlign w:val="bottom"/>
            <w:gridSpan w:val="2"/>
          </w:tcPr>
          <w:p>
            <w:pPr>
              <w:jc w:val="right"/>
              <w:ind w:right="93"/>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r>
      <w:tr>
        <w:trPr>
          <w:trHeight w:val="171"/>
        </w:trPr>
        <w:tc>
          <w:tcPr>
            <w:tcW w:w="4540" w:type="dxa"/>
            <w:vAlign w:val="bottom"/>
          </w:tcPr>
          <w:p>
            <w:pPr>
              <w:spacing w:after="0"/>
              <w:rPr>
                <w:sz w:val="14"/>
                <w:szCs w:val="14"/>
                <w:color w:val="auto"/>
              </w:rPr>
            </w:pPr>
          </w:p>
        </w:tc>
        <w:tc>
          <w:tcPr>
            <w:tcW w:w="24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250,812</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140,361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172,333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745,163</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436,763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sales</w:t>
            </w:r>
          </w:p>
        </w:tc>
        <w:tc>
          <w:tcPr>
            <w:tcW w:w="1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131,691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83,938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99,193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366,304</w:t>
            </w:r>
          </w:p>
        </w:tc>
        <w:tc>
          <w:tcPr>
            <w:tcW w:w="3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254,897</w:t>
            </w:r>
          </w:p>
        </w:tc>
      </w:tr>
      <w:tr>
        <w:trPr>
          <w:trHeight w:val="27"/>
        </w:trPr>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119,121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378,859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181,866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development</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47,727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41,740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136,607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117,926</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Sales &amp; marketing</w:t>
            </w:r>
          </w:p>
        </w:tc>
        <w:tc>
          <w:tcPr>
            <w:tcW w:w="2740" w:type="dxa"/>
            <w:vAlign w:val="bottom"/>
            <w:gridSpan w:val="3"/>
          </w:tcPr>
          <w:p>
            <w:pPr>
              <w:jc w:val="right"/>
              <w:ind w:right="300"/>
              <w:spacing w:after="0"/>
              <w:rPr>
                <w:sz w:val="20"/>
                <w:szCs w:val="20"/>
                <w:color w:val="auto"/>
              </w:rPr>
            </w:pPr>
            <w:r>
              <w:rPr>
                <w:rFonts w:ascii="Arial" w:cs="Arial" w:eastAsia="Arial" w:hAnsi="Arial"/>
                <w:sz w:val="18"/>
                <w:szCs w:val="18"/>
                <w:color w:val="auto"/>
              </w:rPr>
              <w:t>9,375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7,248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6,862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25,908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20,715</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&amp; administrative</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6,949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8,939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27,098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20,323</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Loss from settlement of litigation</w:t>
            </w:r>
          </w:p>
        </w:tc>
        <w:tc>
          <w:tcPr>
            <w:tcW w:w="17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591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591</w:t>
            </w:r>
          </w:p>
        </w:tc>
      </w:tr>
      <w:tr>
        <w:trPr>
          <w:trHeight w:val="27"/>
        </w:trPr>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188,846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22,311</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net</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8,026</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Foreign exchange gain (loss), net</w:t>
            </w:r>
          </w:p>
        </w:tc>
        <w:tc>
          <w:tcPr>
            <w:tcW w:w="2740" w:type="dxa"/>
            <w:vAlign w:val="bottom"/>
            <w:gridSpan w:val="3"/>
          </w:tcPr>
          <w:p>
            <w:pPr>
              <w:jc w:val="right"/>
              <w:ind w:right="240"/>
              <w:spacing w:after="0"/>
              <w:rPr>
                <w:sz w:val="20"/>
                <w:szCs w:val="20"/>
                <w:color w:val="auto"/>
              </w:rPr>
            </w:pPr>
            <w:r>
              <w:rPr>
                <w:rFonts w:ascii="Arial" w:cs="Arial" w:eastAsia="Arial" w:hAnsi="Arial"/>
                <w:sz w:val="18"/>
                <w:szCs w:val="18"/>
                <w:color w:val="auto"/>
              </w:rPr>
              <w:t>(2,293)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569</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2,030</w:t>
            </w: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holding gain(loss) on investments</w:t>
            </w:r>
          </w:p>
        </w:tc>
        <w:tc>
          <w:tcPr>
            <w:tcW w:w="1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6,135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8,053</w:t>
            </w: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Others, net</w:t>
            </w:r>
          </w:p>
        </w:tc>
        <w:tc>
          <w:tcPr>
            <w:tcW w:w="17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r>
      <w:tr>
        <w:trPr>
          <w:trHeight w:val="27"/>
        </w:trPr>
        <w:tc>
          <w:tcPr>
            <w:tcW w:w="4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1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18,109</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7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53,827</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16,229</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185,904</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40,420</w:t>
            </w:r>
          </w:p>
        </w:tc>
        <w:tc>
          <w:tcPr>
            <w:tcW w:w="22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10,936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5,642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36,929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8,639</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income</w:t>
            </w:r>
          </w:p>
        </w:tc>
        <w:tc>
          <w:tcPr>
            <w:tcW w:w="1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42,891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11,044</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10,587</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148,975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31,781</w:t>
            </w:r>
          </w:p>
        </w:tc>
        <w:tc>
          <w:tcPr>
            <w:tcW w:w="2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basic ADS</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Earnings per diluted ADS</w:t>
            </w:r>
          </w:p>
        </w:tc>
        <w:tc>
          <w:tcPr>
            <w:tcW w:w="2740" w:type="dxa"/>
            <w:vAlign w:val="bottom"/>
            <w:gridSpan w:val="3"/>
          </w:tcPr>
          <w:p>
            <w:pPr>
              <w:jc w:val="right"/>
              <w:ind w:right="300"/>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r>
      <w:tr>
        <w:trPr>
          <w:trHeight w:val="94"/>
        </w:trPr>
        <w:tc>
          <w:tcPr>
            <w:tcW w:w="4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Margin Analysis:</w:t>
            </w:r>
          </w:p>
        </w:tc>
        <w:tc>
          <w:tcPr>
            <w:tcW w:w="1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Gross margin</w:t>
            </w:r>
          </w:p>
        </w:tc>
        <w:tc>
          <w:tcPr>
            <w:tcW w:w="2740" w:type="dxa"/>
            <w:vAlign w:val="bottom"/>
            <w:gridSpan w:val="3"/>
          </w:tcPr>
          <w:p>
            <w:pPr>
              <w:jc w:val="right"/>
              <w:ind w:right="160"/>
              <w:spacing w:after="0"/>
              <w:rPr>
                <w:sz w:val="20"/>
                <w:szCs w:val="20"/>
                <w:color w:val="auto"/>
              </w:rPr>
            </w:pPr>
            <w:r>
              <w:rPr>
                <w:rFonts w:ascii="Arial" w:cs="Arial" w:eastAsia="Arial" w:hAnsi="Arial"/>
                <w:sz w:val="18"/>
                <w:szCs w:val="18"/>
                <w:color w:val="auto"/>
              </w:rPr>
              <w:t>47.5%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margin</w:t>
            </w:r>
          </w:p>
        </w:tc>
        <w:tc>
          <w:tcPr>
            <w:tcW w:w="2740" w:type="dxa"/>
            <w:vAlign w:val="bottom"/>
            <w:gridSpan w:val="3"/>
          </w:tcPr>
          <w:p>
            <w:pPr>
              <w:jc w:val="right"/>
              <w:ind w:right="160"/>
              <w:spacing w:after="0"/>
              <w:rPr>
                <w:sz w:val="20"/>
                <w:szCs w:val="20"/>
                <w:color w:val="auto"/>
              </w:rPr>
            </w:pPr>
            <w:r>
              <w:rPr>
                <w:rFonts w:ascii="Arial" w:cs="Arial" w:eastAsia="Arial" w:hAnsi="Arial"/>
                <w:sz w:val="18"/>
                <w:szCs w:val="18"/>
                <w:color w:val="auto"/>
              </w:rPr>
              <w:t>17.1%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Data:</w:t>
            </w:r>
          </w:p>
        </w:tc>
        <w:tc>
          <w:tcPr>
            <w:tcW w:w="17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avg. ADS equivalents</w:t>
            </w:r>
          </w:p>
        </w:tc>
        <w:tc>
          <w:tcPr>
            <w:tcW w:w="2740" w:type="dxa"/>
            <w:vAlign w:val="bottom"/>
            <w:gridSpan w:val="3"/>
          </w:tcPr>
          <w:p>
            <w:pPr>
              <w:jc w:val="right"/>
              <w:ind w:right="300"/>
              <w:spacing w:after="0"/>
              <w:rPr>
                <w:sz w:val="20"/>
                <w:szCs w:val="20"/>
                <w:color w:val="auto"/>
              </w:rPr>
            </w:pPr>
            <w:r>
              <w:rPr>
                <w:rFonts w:ascii="Arial" w:cs="Arial" w:eastAsia="Arial" w:hAnsi="Arial"/>
                <w:sz w:val="18"/>
                <w:szCs w:val="18"/>
                <w:color w:val="auto"/>
              </w:rPr>
              <w:t>33,050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33,409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33,413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33,325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33,332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ADS equivalents</w:t>
            </w:r>
          </w:p>
        </w:tc>
        <w:tc>
          <w:tcPr>
            <w:tcW w:w="2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33,140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33,438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33,471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33,448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33,431</w:t>
            </w:r>
          </w:p>
        </w:tc>
      </w:tr>
      <w:tr>
        <w:trPr>
          <w:trHeight w:val="365"/>
        </w:trPr>
        <w:tc>
          <w:tcPr>
            <w:tcW w:w="4540" w:type="dxa"/>
            <w:vAlign w:val="bottom"/>
          </w:tcPr>
          <w:p>
            <w:pPr>
              <w:spacing w:after="0"/>
              <w:rPr>
                <w:sz w:val="24"/>
                <w:szCs w:val="24"/>
                <w:color w:val="auto"/>
              </w:rPr>
            </w:pPr>
          </w:p>
        </w:tc>
        <w:tc>
          <w:tcPr>
            <w:tcW w:w="1780" w:type="dxa"/>
            <w:vAlign w:val="bottom"/>
          </w:tcPr>
          <w:p>
            <w:pPr>
              <w:jc w:val="right"/>
              <w:ind w:right="692"/>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Reconciliation of GAAP to Non-GAAP Operating Results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percentages and per ADS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Three Months Ended</w:t>
            </w:r>
          </w:p>
        </w:tc>
        <w:tc>
          <w:tcPr>
            <w:tcW w:w="18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Year Ended</w:t>
            </w:r>
          </w:p>
        </w:tc>
      </w:tr>
      <w:tr>
        <w:trPr>
          <w:trHeight w:val="119"/>
        </w:trPr>
        <w:tc>
          <w:tcPr>
            <w:tcW w:w="44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 30,</w:t>
            </w:r>
          </w:p>
        </w:tc>
        <w:tc>
          <w:tcPr>
            <w:tcW w:w="8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 30,</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30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220" w:type="dxa"/>
            <w:vAlign w:val="bottom"/>
          </w:tcPr>
          <w:p>
            <w:pPr>
              <w:spacing w:after="0"/>
              <w:rPr>
                <w:sz w:val="10"/>
                <w:szCs w:val="10"/>
                <w:color w:val="auto"/>
              </w:rPr>
            </w:pPr>
          </w:p>
        </w:tc>
      </w:tr>
      <w:tr>
        <w:trPr>
          <w:trHeight w:val="148"/>
        </w:trPr>
        <w:tc>
          <w:tcPr>
            <w:tcW w:w="4480" w:type="dxa"/>
            <w:vAlign w:val="bottom"/>
          </w:tcPr>
          <w:p>
            <w:pPr>
              <w:spacing w:after="0"/>
              <w:rPr>
                <w:sz w:val="12"/>
                <w:szCs w:val="12"/>
                <w:color w:val="auto"/>
              </w:rPr>
            </w:pPr>
          </w:p>
        </w:tc>
        <w:tc>
          <w:tcPr>
            <w:tcW w:w="2680" w:type="dxa"/>
            <w:vAlign w:val="bottom"/>
            <w:gridSpan w:val="2"/>
          </w:tcPr>
          <w:p>
            <w:pPr>
              <w:jc w:val="right"/>
              <w:ind w:right="76"/>
              <w:spacing w:after="0" w:line="149"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r>
      <w:tr>
        <w:trPr>
          <w:trHeight w:val="171"/>
        </w:trPr>
        <w:tc>
          <w:tcPr>
            <w:tcW w:w="4480" w:type="dxa"/>
            <w:vAlign w:val="bottom"/>
          </w:tcPr>
          <w:p>
            <w:pPr>
              <w:spacing w:after="0"/>
              <w:rPr>
                <w:sz w:val="14"/>
                <w:szCs w:val="14"/>
                <w:color w:val="auto"/>
              </w:rPr>
            </w:pPr>
          </w:p>
        </w:tc>
        <w:tc>
          <w:tcPr>
            <w:tcW w:w="26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 (GAAP)</w:t>
            </w:r>
          </w:p>
        </w:tc>
        <w:tc>
          <w:tcPr>
            <w:tcW w:w="20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119,121</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56,423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73,140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378,859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181,866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Gross margin (GAAP)</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47.5%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(A)</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r>
      <w:tr>
        <w:trPr>
          <w:trHeight w:val="216"/>
        </w:trPr>
        <w:tc>
          <w:tcPr>
            <w:tcW w:w="448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20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3,222</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3,347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(non-GAAP)</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119,264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59,716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73,322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379,365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185,513</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Gross margin (non-GAAP)</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47.6%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r>
      <w:tr>
        <w:trPr>
          <w:trHeight w:val="94"/>
        </w:trPr>
        <w:tc>
          <w:tcPr>
            <w:tcW w:w="4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(GAAP)</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63,751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54,605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58,132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190,013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159,555</w:t>
            </w:r>
          </w:p>
        </w:tc>
      </w:tr>
      <w:tr>
        <w:trPr>
          <w:trHeight w:val="216"/>
        </w:trPr>
        <w:tc>
          <w:tcPr>
            <w:tcW w:w="4480" w:type="dxa"/>
            <w:vAlign w:val="bottom"/>
          </w:tcPr>
          <w:p>
            <w:pPr>
              <w:ind w:left="720"/>
              <w:spacing w:after="0"/>
              <w:rPr>
                <w:sz w:val="20"/>
                <w:szCs w:val="20"/>
                <w:color w:val="auto"/>
              </w:rPr>
            </w:pPr>
            <w:r>
              <w:rPr>
                <w:rFonts w:ascii="Arial" w:cs="Arial" w:eastAsia="Arial" w:hAnsi="Arial"/>
                <w:sz w:val="18"/>
                <w:szCs w:val="18"/>
                <w:color w:val="auto"/>
              </w:rPr>
              <w:t>Stock-based compensation (A)</w:t>
            </w:r>
          </w:p>
        </w:tc>
        <w:tc>
          <w:tcPr>
            <w:tcW w:w="3000" w:type="dxa"/>
            <w:vAlign w:val="bottom"/>
            <w:gridSpan w:val="3"/>
          </w:tcPr>
          <w:p>
            <w:pPr>
              <w:jc w:val="right"/>
              <w:ind w:right="260"/>
              <w:spacing w:after="0"/>
              <w:rPr>
                <w:sz w:val="20"/>
                <w:szCs w:val="20"/>
                <w:color w:val="auto"/>
              </w:rPr>
            </w:pPr>
            <w:r>
              <w:rPr>
                <w:rFonts w:ascii="Arial" w:cs="Arial" w:eastAsia="Arial" w:hAnsi="Arial"/>
                <w:sz w:val="18"/>
                <w:szCs w:val="18"/>
                <w:color w:val="auto"/>
              </w:rPr>
              <w:t>(5,679)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(2,359)</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(3,751)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(13,451)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(11,460)</w:t>
            </w: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M&amp;A transaction expenses</w:t>
            </w:r>
          </w:p>
        </w:tc>
        <w:tc>
          <w:tcPr>
            <w:tcW w:w="3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(1,548)</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(8,444)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(2,893)</w:t>
            </w:r>
          </w:p>
        </w:tc>
      </w:tr>
      <w:tr>
        <w:trPr>
          <w:trHeight w:val="216"/>
        </w:trPr>
        <w:tc>
          <w:tcPr>
            <w:tcW w:w="4480" w:type="dxa"/>
            <w:vAlign w:val="bottom"/>
          </w:tcPr>
          <w:p>
            <w:pPr>
              <w:ind w:left="720"/>
              <w:spacing w:after="0"/>
              <w:rPr>
                <w:sz w:val="20"/>
                <w:szCs w:val="20"/>
                <w:color w:val="auto"/>
              </w:rPr>
            </w:pPr>
            <w:r>
              <w:rPr>
                <w:rFonts w:ascii="Arial" w:cs="Arial" w:eastAsia="Arial" w:hAnsi="Arial"/>
                <w:sz w:val="18"/>
                <w:szCs w:val="18"/>
                <w:color w:val="auto"/>
              </w:rPr>
              <w:t>MaxLinear arbitration expenses</w:t>
            </w:r>
          </w:p>
        </w:tc>
        <w:tc>
          <w:tcPr>
            <w:tcW w:w="20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(2,904)</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(2,904)</w:t>
            </w: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Restructuring charges</w:t>
            </w:r>
          </w:p>
        </w:tc>
        <w:tc>
          <w:tcPr>
            <w:tcW w:w="20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(4,581)</w:t>
            </w: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Loss from settlement of litigation</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300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(591)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r>
      <w:tr>
        <w:trPr>
          <w:trHeight w:val="94"/>
        </w:trPr>
        <w:tc>
          <w:tcPr>
            <w:tcW w:w="44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(non-GAAP)</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56,606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48,034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49,517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167,718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137,126</w:t>
            </w: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Operating profit (GAAP)</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55,370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1,818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15,008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188,846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22,311</w:t>
            </w: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Operating margin (GAAP)</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4480" w:type="dxa"/>
            <w:vAlign w:val="bottom"/>
          </w:tcPr>
          <w:p>
            <w:pPr>
              <w:ind w:left="720"/>
              <w:spacing w:after="0"/>
              <w:rPr>
                <w:sz w:val="20"/>
                <w:szCs w:val="20"/>
                <w:color w:val="auto"/>
              </w:rPr>
            </w:pPr>
            <w:r>
              <w:rPr>
                <w:rFonts w:ascii="Arial" w:cs="Arial" w:eastAsia="Arial" w:hAnsi="Arial"/>
                <w:sz w:val="18"/>
                <w:szCs w:val="18"/>
                <w:color w:val="auto"/>
              </w:rPr>
              <w:t>Total adjustments to operating profit</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7,288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9,864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8,797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22,801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26,076</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(non-GAAP)</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62,658</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11,682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23,805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211,647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48,387</w:t>
            </w:r>
          </w:p>
        </w:tc>
      </w:tr>
      <w:tr>
        <w:trPr>
          <w:trHeight w:val="324"/>
        </w:trPr>
        <w:tc>
          <w:tcPr>
            <w:tcW w:w="44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Operating margin (non-GAAP)</w:t>
            </w:r>
          </w:p>
        </w:tc>
        <w:tc>
          <w:tcPr>
            <w:tcW w:w="3000" w:type="dxa"/>
            <w:vAlign w:val="bottom"/>
            <w:gridSpan w:val="3"/>
          </w:tcPr>
          <w:p>
            <w:pPr>
              <w:jc w:val="right"/>
              <w:ind w:right="16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 (GAAP)</w:t>
            </w:r>
          </w:p>
        </w:tc>
        <w:tc>
          <w:tcPr>
            <w:tcW w:w="3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10,094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1,221</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18,109</w:t>
            </w:r>
          </w:p>
        </w:tc>
      </w:tr>
      <w:tr>
        <w:trPr>
          <w:trHeight w:val="216"/>
        </w:trPr>
        <w:tc>
          <w:tcPr>
            <w:tcW w:w="4480" w:type="dxa"/>
            <w:vAlign w:val="bottom"/>
          </w:tcPr>
          <w:p>
            <w:pPr>
              <w:ind w:left="720"/>
              <w:spacing w:after="0"/>
              <w:rPr>
                <w:sz w:val="20"/>
                <w:szCs w:val="20"/>
                <w:color w:val="auto"/>
              </w:rPr>
            </w:pPr>
            <w:r>
              <w:rPr>
                <w:rFonts w:ascii="Arial" w:cs="Arial" w:eastAsia="Arial" w:hAnsi="Arial"/>
                <w:sz w:val="18"/>
                <w:szCs w:val="18"/>
                <w:color w:val="auto"/>
              </w:rPr>
              <w:t>Foreign exchange loss (gain), net</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2,293</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(1,223)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(569)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(2,030)</w:t>
            </w:r>
          </w:p>
        </w:tc>
      </w:tr>
      <w:tr>
        <w:trPr>
          <w:trHeight w:val="202"/>
        </w:trPr>
        <w:tc>
          <w:tcPr>
            <w:tcW w:w="44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Unrealized holding loss (gain)</w:t>
            </w: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on investments</w:t>
            </w:r>
          </w:p>
        </w:tc>
        <w:tc>
          <w:tcPr>
            <w:tcW w:w="20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(8,053)</w:t>
            </w: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Non-operating income (expense) (non-GAAP)</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750</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2,736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3,480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8,026</w:t>
            </w:r>
          </w:p>
        </w:tc>
      </w:tr>
      <w:tr>
        <w:trPr>
          <w:trHeight w:val="90"/>
        </w:trPr>
        <w:tc>
          <w:tcPr>
            <w:tcW w:w="448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3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42,891</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11,044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10,587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148,975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31,781</w:t>
            </w:r>
          </w:p>
        </w:tc>
      </w:tr>
      <w:tr>
        <w:trPr>
          <w:trHeight w:val="202"/>
        </w:trPr>
        <w:tc>
          <w:tcPr>
            <w:tcW w:w="4480" w:type="dxa"/>
            <w:vAlign w:val="bottom"/>
          </w:tcPr>
          <w:p>
            <w:pPr>
              <w:ind w:left="720"/>
              <w:spacing w:after="0" w:line="201" w:lineRule="exact"/>
              <w:rPr>
                <w:sz w:val="20"/>
                <w:szCs w:val="20"/>
                <w:color w:val="auto"/>
              </w:rPr>
            </w:pPr>
            <w:r>
              <w:rPr>
                <w:rFonts w:ascii="Arial" w:cs="Arial" w:eastAsia="Arial" w:hAnsi="Arial"/>
                <w:sz w:val="18"/>
                <w:szCs w:val="18"/>
                <w:color w:val="auto"/>
              </w:rPr>
              <w:t>Total pre-tax impact of non-GAAP</w:t>
            </w:r>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4"/>
        </w:trPr>
        <w:tc>
          <w:tcPr>
            <w:tcW w:w="4480" w:type="dxa"/>
            <w:vAlign w:val="bottom"/>
          </w:tcPr>
          <w:p>
            <w:pPr>
              <w:ind w:left="720"/>
              <w:spacing w:after="0"/>
              <w:rPr>
                <w:sz w:val="20"/>
                <w:szCs w:val="20"/>
                <w:color w:val="auto"/>
              </w:rPr>
            </w:pPr>
            <w:r>
              <w:rPr>
                <w:rFonts w:ascii="Arial" w:cs="Arial" w:eastAsia="Arial" w:hAnsi="Arial"/>
                <w:sz w:val="18"/>
                <w:szCs w:val="18"/>
                <w:color w:val="auto"/>
              </w:rPr>
              <w:t>adjustments</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9,581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2,506</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11,056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27,119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15,993</w:t>
            </w:r>
          </w:p>
        </w:tc>
      </w:tr>
      <w:tr>
        <w:trPr>
          <w:trHeight w:val="202"/>
        </w:trPr>
        <w:tc>
          <w:tcPr>
            <w:tcW w:w="44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Income tax impact of non-GAAP</w:t>
            </w:r>
          </w:p>
        </w:tc>
        <w:tc>
          <w:tcPr>
            <w:tcW w:w="2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adjustments</w:t>
            </w:r>
          </w:p>
        </w:tc>
        <w:tc>
          <w:tcPr>
            <w:tcW w:w="3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(2,968)</w:t>
            </w:r>
          </w:p>
        </w:tc>
      </w:tr>
      <w:tr>
        <w:trPr>
          <w:trHeight w:val="234"/>
        </w:trPr>
        <w:tc>
          <w:tcPr>
            <w:tcW w:w="4480" w:type="dxa"/>
            <w:vAlign w:val="bottom"/>
          </w:tcPr>
          <w:p>
            <w:pPr>
              <w:spacing w:after="0"/>
              <w:rPr>
                <w:sz w:val="20"/>
                <w:szCs w:val="20"/>
                <w:color w:val="auto"/>
              </w:rPr>
            </w:pPr>
            <w:r>
              <w:rPr>
                <w:rFonts w:ascii="Arial" w:cs="Arial" w:eastAsia="Arial" w:hAnsi="Arial"/>
                <w:sz w:val="18"/>
                <w:szCs w:val="18"/>
                <w:b w:val="1"/>
                <w:bCs w:val="1"/>
                <w:color w:val="auto"/>
              </w:rPr>
              <w:t>Net income (non-GAAP)</w:t>
            </w:r>
          </w:p>
        </w:tc>
        <w:tc>
          <w:tcPr>
            <w:tcW w:w="3000" w:type="dxa"/>
            <w:vAlign w:val="bottom"/>
            <w:gridSpan w:val="3"/>
          </w:tcPr>
          <w:p>
            <w:pPr>
              <w:jc w:val="right"/>
              <w:ind w:right="320"/>
              <w:spacing w:after="0"/>
              <w:rPr>
                <w:sz w:val="20"/>
                <w:szCs w:val="20"/>
                <w:color w:val="auto"/>
              </w:rPr>
            </w:pPr>
            <w:r>
              <w:rPr>
                <w:rFonts w:ascii="Arial" w:cs="Arial" w:eastAsia="Arial" w:hAnsi="Arial"/>
                <w:sz w:val="18"/>
                <w:szCs w:val="18"/>
                <w:color w:val="auto"/>
              </w:rPr>
              <w:t>51,161</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12,585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21,059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172,860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44,806</w:t>
            </w:r>
          </w:p>
        </w:tc>
      </w:tr>
      <w:tr>
        <w:trPr>
          <w:trHeight w:val="346"/>
        </w:trPr>
        <w:tc>
          <w:tcPr>
            <w:tcW w:w="4480" w:type="dxa"/>
            <w:vAlign w:val="bottom"/>
          </w:tcPr>
          <w:p>
            <w:pPr>
              <w:spacing w:after="0"/>
              <w:rPr>
                <w:sz w:val="24"/>
                <w:szCs w:val="24"/>
                <w:color w:val="auto"/>
              </w:rPr>
            </w:pPr>
          </w:p>
        </w:tc>
        <w:tc>
          <w:tcPr>
            <w:tcW w:w="2040" w:type="dxa"/>
            <w:vAlign w:val="bottom"/>
          </w:tcPr>
          <w:p>
            <w:pPr>
              <w:jc w:val="right"/>
              <w:ind w:right="892"/>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diluted ADS (GAAP)</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Earnings per diluted ADS (non-GAAP)</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0.63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used in computing earnings per diluted ADS (GAAP)</w:t>
            </w: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33,140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33,438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33,471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33,448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33,431</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Non-GAAP adjustments</w:t>
            </w:r>
          </w:p>
        </w:tc>
        <w:tc>
          <w:tcPr>
            <w:tcW w:w="15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263</w:t>
            </w:r>
          </w:p>
        </w:tc>
        <w:tc>
          <w:tcPr>
            <w:tcW w:w="2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Shares used in computing earnings per diluted ADS (non-GAAP)</w:t>
            </w: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33,403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33,553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33,599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33,697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33,567</w:t>
            </w: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(A) Excludes stock-based compensation as follows: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Research &amp; development</w:t>
            </w:r>
          </w:p>
        </w:tc>
        <w:tc>
          <w:tcPr>
            <w:tcW w:w="152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4,029</w:t>
            </w:r>
          </w:p>
        </w:tc>
        <w:tc>
          <w:tcPr>
            <w:tcW w:w="2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2,422</w:t>
            </w:r>
          </w:p>
        </w:tc>
        <w:tc>
          <w:tcPr>
            <w:tcW w:w="2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9,007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7,605</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&amp; marketing</w:t>
            </w: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1,684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15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1,035</w:t>
            </w:r>
          </w:p>
        </w:tc>
        <w:tc>
          <w:tcPr>
            <w:tcW w:w="2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2,760</w:t>
            </w: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2,359</w:t>
            </w:r>
          </w:p>
        </w:tc>
      </w:tr>
      <w:tr>
        <w:trPr>
          <w:trHeight w:val="350"/>
        </w:trPr>
        <w:tc>
          <w:tcPr>
            <w:tcW w:w="5220" w:type="dxa"/>
            <w:vAlign w:val="bottom"/>
          </w:tcPr>
          <w:p>
            <w:pPr>
              <w:spacing w:after="0"/>
              <w:rPr>
                <w:sz w:val="24"/>
                <w:szCs w:val="24"/>
                <w:color w:val="auto"/>
              </w:rPr>
            </w:pPr>
          </w:p>
        </w:tc>
        <w:tc>
          <w:tcPr>
            <w:tcW w:w="1520" w:type="dxa"/>
            <w:vAlign w:val="bottom"/>
          </w:tcPr>
          <w:p>
            <w:pPr>
              <w:jc w:val="right"/>
              <w:ind w:right="111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 30</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 30,</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4980" w:type="dxa"/>
            <w:vAlign w:val="bottom"/>
            <w:gridSpan w:val="2"/>
          </w:tcPr>
          <w:p>
            <w:pPr>
              <w:jc w:val="right"/>
              <w:ind w:right="93"/>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498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199,215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249,830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5140" w:type="dxa"/>
            <w:vAlign w:val="bottom"/>
            <w:gridSpan w:val="3"/>
          </w:tcPr>
          <w:p>
            <w:pPr>
              <w:jc w:val="right"/>
              <w:ind w:right="160"/>
              <w:spacing w:after="0"/>
              <w:rPr>
                <w:sz w:val="20"/>
                <w:szCs w:val="20"/>
                <w:color w:val="auto"/>
              </w:rPr>
            </w:pPr>
            <w:r>
              <w:rPr>
                <w:rFonts w:ascii="Arial" w:cs="Arial" w:eastAsia="Arial" w:hAnsi="Arial"/>
                <w:sz w:val="18"/>
                <w:szCs w:val="18"/>
                <w:color w:val="auto"/>
              </w:rPr>
              <w:t>229,692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166,020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193,389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305,566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250,524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199,003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Refundable deposits – current</w:t>
            </w:r>
          </w:p>
        </w:tc>
        <w:tc>
          <w:tcPr>
            <w:tcW w:w="5140" w:type="dxa"/>
            <w:vAlign w:val="bottom"/>
            <w:gridSpan w:val="3"/>
          </w:tcPr>
          <w:p>
            <w:pPr>
              <w:jc w:val="right"/>
              <w:ind w:right="160"/>
              <w:spacing w:after="0"/>
              <w:rPr>
                <w:sz w:val="20"/>
                <w:szCs w:val="20"/>
                <w:color w:val="auto"/>
              </w:rPr>
            </w:pPr>
            <w:r>
              <w:rPr>
                <w:rFonts w:ascii="Arial" w:cs="Arial" w:eastAsia="Arial" w:hAnsi="Arial"/>
                <w:sz w:val="18"/>
                <w:szCs w:val="18"/>
                <w:color w:val="auto"/>
              </w:rPr>
              <w:t>48,500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49,480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49,445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13,899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15,916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16,896</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796,872</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731,770</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754,118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8,333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17,023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140" w:type="dxa"/>
            <w:vAlign w:val="bottom"/>
            <w:gridSpan w:val="3"/>
          </w:tcPr>
          <w:p>
            <w:pPr>
              <w:jc w:val="right"/>
              <w:ind w:right="160"/>
              <w:spacing w:after="0"/>
              <w:rPr>
                <w:sz w:val="20"/>
                <w:szCs w:val="20"/>
                <w:color w:val="auto"/>
              </w:rPr>
            </w:pPr>
            <w:r>
              <w:rPr>
                <w:rFonts w:ascii="Arial" w:cs="Arial" w:eastAsia="Arial" w:hAnsi="Arial"/>
                <w:sz w:val="18"/>
                <w:szCs w:val="18"/>
                <w:color w:val="auto"/>
              </w:rPr>
              <w:t>133,499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156,962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162,107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22,778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38,077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33,672</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961,482</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946,576</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966,920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70,731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26,975</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Income tax payable</w:t>
            </w:r>
          </w:p>
        </w:tc>
        <w:tc>
          <w:tcPr>
            <w:tcW w:w="5140" w:type="dxa"/>
            <w:vAlign w:val="bottom"/>
            <w:gridSpan w:val="3"/>
          </w:tcPr>
          <w:p>
            <w:pPr>
              <w:jc w:val="right"/>
              <w:ind w:right="160"/>
              <w:spacing w:after="0"/>
              <w:rPr>
                <w:sz w:val="20"/>
                <w:szCs w:val="20"/>
                <w:color w:val="auto"/>
              </w:rPr>
            </w:pPr>
            <w:r>
              <w:rPr>
                <w:rFonts w:ascii="Arial" w:cs="Arial" w:eastAsia="Arial" w:hAnsi="Arial"/>
                <w:sz w:val="18"/>
                <w:szCs w:val="18"/>
                <w:color w:val="auto"/>
              </w:rPr>
              <w:t>46,211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31,272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26,279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105,855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77,502</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222,797</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122,572</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130,756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44,328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64,562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62,112</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liabilities</w:t>
            </w:r>
          </w:p>
        </w:tc>
        <w:tc>
          <w:tcPr>
            <w:tcW w:w="4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267,125</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187,134</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Shareholders’ equity</w:t>
            </w:r>
          </w:p>
        </w:tc>
        <w:tc>
          <w:tcPr>
            <w:tcW w:w="5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694,357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759,442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774,052</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Total liabilities &amp; shareholders’ equity</w:t>
            </w:r>
          </w:p>
        </w:tc>
        <w:tc>
          <w:tcPr>
            <w:tcW w:w="4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961,482</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946,576</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966,920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320" w:type="dxa"/>
            <w:vAlign w:val="bottom"/>
            <w:vMerge w:val="restart"/>
          </w:tcPr>
          <w:p>
            <w:pPr>
              <w:jc w:val="right"/>
              <w:ind w:right="2992"/>
              <w:spacing w:after="0"/>
              <w:rPr>
                <w:sz w:val="20"/>
                <w:szCs w:val="20"/>
                <w:color w:val="auto"/>
              </w:rPr>
            </w:pPr>
            <w:r>
              <w:rPr>
                <w:rFonts w:ascii="Arial" w:cs="Arial" w:eastAsia="Arial" w:hAnsi="Arial"/>
                <w:sz w:val="18"/>
                <w:szCs w:val="18"/>
                <w:color w:val="auto"/>
              </w:rPr>
              <w:t>10</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Three Months Ended</w:t>
            </w:r>
          </w:p>
        </w:tc>
        <w:tc>
          <w:tcPr>
            <w:tcW w:w="1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19"/>
        </w:trPr>
        <w:tc>
          <w:tcPr>
            <w:tcW w:w="66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Sep. 30,</w:t>
            </w:r>
          </w:p>
        </w:tc>
        <w:tc>
          <w:tcPr>
            <w:tcW w:w="88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Jun.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2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61"/>
              <w:spacing w:after="0" w:line="119" w:lineRule="exact"/>
              <w:rPr>
                <w:sz w:val="20"/>
                <w:szCs w:val="20"/>
                <w:color w:val="auto"/>
              </w:rPr>
            </w:pPr>
            <w:r>
              <w:rPr>
                <w:rFonts w:ascii="Arial" w:cs="Arial" w:eastAsia="Arial" w:hAnsi="Arial"/>
                <w:sz w:val="13"/>
                <w:szCs w:val="13"/>
                <w:b w:val="1"/>
                <w:bCs w:val="1"/>
                <w:color w:val="auto"/>
              </w:rPr>
              <w:t>Sep. 30,</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6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70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4,864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5,381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8,043</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13,995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3,845</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13,821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Investment losses (gain) &amp; disposals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(5,945)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3,135</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39,302</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(132,913)</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52,910</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42,640</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36,044</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64,912</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43,883</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107,927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&amp; equipment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(10,085)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(17,052)</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(25,148)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(10,085)</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(17,052)</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(40,687)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(16,499)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(49,941)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Share repurchases</w:t>
            </w: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(133,155</w:t>
            </w:r>
          </w:p>
        </w:tc>
        <w:tc>
          <w:tcPr>
            <w:tcW w:w="2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(16,608)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(183,096)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increase (decrease) in cash, cash equivalents &amp; restricted cash</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17,464</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25,944</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47,860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(164,361)</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changes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(2,528)</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cash equivalents &amp; restricted cash—beginning of period</w:t>
            </w:r>
          </w:p>
        </w:tc>
        <w:tc>
          <w:tcPr>
            <w:tcW w:w="680" w:type="dxa"/>
            <w:vAlign w:val="bottom"/>
          </w:tcPr>
          <w:p>
            <w:pPr>
              <w:jc w:val="right"/>
              <w:spacing w:after="0"/>
              <w:rPr>
                <w:sz w:val="20"/>
                <w:szCs w:val="20"/>
                <w:color w:val="auto"/>
              </w:rPr>
            </w:pPr>
            <w:r>
              <w:rPr>
                <w:rFonts w:ascii="Arial" w:cs="Arial" w:eastAsia="Arial" w:hAnsi="Arial"/>
                <w:sz w:val="18"/>
                <w:szCs w:val="18"/>
                <w:color w:val="auto"/>
              </w:rPr>
              <w:t>234,939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280,300</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304,971</w:t>
            </w: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415,523</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287,055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&amp; restricted cash—end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304,971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350,303</w:t>
            </w:r>
          </w:p>
        </w:tc>
        <w:tc>
          <w:tcPr>
            <w:tcW w:w="9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253,885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350,303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ADS cancellation fee for shares repurchased in prior quarter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Silicon Motion: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t>
      </w:r>
      <w:r>
        <w:rPr>
          <w:rFonts w:ascii="Arial" w:cs="Arial" w:eastAsia="Arial" w:hAnsi="Arial"/>
          <w:sz w:val="18"/>
          <w:szCs w:val="18"/>
          <w:u w:val="single" w:color="auto"/>
          <w:color w:val="auto"/>
        </w:rPr>
        <w:t>www.siliconmotion.com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effects on our business and our customer’s business taking into account the ongoing US-China tariffs and trade disputes together with the uncertainties associated with any future outbreaks of COVID-19, including, but not limited to, the emergence of variants to the original COVID-19 strain; the recent increases in tensions between Taiwan and China including enhanced military activities; decreases in the overall average selling prices of our products; changes in the relative sales mix of our products; changes in our cost of finished goods;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consumer demands and general economic conditions; any potential impairment charges that may be incurred related to businesses previously acquired or divested in the future;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Securities and Exchange Commission, including our Annual Report on Form 20-F filed on April 28, 2023. We assume no obligation to update any forward-looking statements, which apply only as of the date of this press release.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Silicon Motion Investor Contacts:</w:t>
            </w:r>
          </w:p>
        </w:tc>
        <w:tc>
          <w:tcPr>
            <w:tcW w:w="1620" w:type="dxa"/>
            <w:vAlign w:val="bottom"/>
          </w:tcPr>
          <w:p>
            <w:pPr>
              <w:spacing w:after="0"/>
              <w:rPr>
                <w:sz w:val="20"/>
                <w:szCs w:val="20"/>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Jason Tsai</w:t>
            </w:r>
          </w:p>
        </w:tc>
        <w:tc>
          <w:tcPr>
            <w:tcW w:w="1620" w:type="dxa"/>
            <w:vAlign w:val="bottom"/>
          </w:tcPr>
          <w:p>
            <w:pPr>
              <w:spacing w:after="0"/>
              <w:rPr>
                <w:sz w:val="20"/>
                <w:szCs w:val="20"/>
                <w:color w:val="auto"/>
              </w:rPr>
            </w:pPr>
            <w:r>
              <w:rPr>
                <w:rFonts w:ascii="Arial" w:cs="Arial" w:eastAsia="Arial" w:hAnsi="Arial"/>
                <w:sz w:val="18"/>
                <w:szCs w:val="18"/>
                <w:color w:val="auto"/>
              </w:rPr>
              <w:t>Selina Hsieh</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Vice President of IR &amp; Finance</w:t>
            </w:r>
          </w:p>
        </w:tc>
        <w:tc>
          <w:tcPr>
            <w:tcW w:w="1620" w:type="dxa"/>
            <w:vAlign w:val="bottom"/>
          </w:tcPr>
          <w:p>
            <w:pPr>
              <w:spacing w:after="0"/>
              <w:rPr>
                <w:sz w:val="20"/>
                <w:szCs w:val="20"/>
                <w:color w:val="auto"/>
              </w:rPr>
            </w:pPr>
            <w:r>
              <w:rPr>
                <w:rFonts w:ascii="Arial" w:cs="Arial" w:eastAsia="Arial" w:hAnsi="Arial"/>
                <w:sz w:val="18"/>
                <w:szCs w:val="18"/>
                <w:color w:val="auto"/>
              </w:rPr>
              <w:t>Investor Relations</w:t>
            </w:r>
          </w:p>
        </w:tc>
      </w:tr>
      <w:tr>
        <w:trPr>
          <w:trHeight w:val="190"/>
        </w:trPr>
        <w:tc>
          <w:tcPr>
            <w:tcW w:w="4540" w:type="dxa"/>
            <w:vAlign w:val="bottom"/>
            <w:gridSpan w:val="2"/>
          </w:tcPr>
          <w:p>
            <w:pPr>
              <w:spacing w:after="0" w:line="190" w:lineRule="exact"/>
              <w:rPr>
                <w:sz w:val="20"/>
                <w:szCs w:val="20"/>
                <w:color w:val="auto"/>
              </w:rPr>
            </w:pPr>
            <w:r>
              <w:rPr>
                <w:rFonts w:ascii="Arial" w:cs="Arial" w:eastAsia="Arial" w:hAnsi="Arial"/>
                <w:sz w:val="18"/>
                <w:szCs w:val="18"/>
                <w:color w:val="auto"/>
              </w:rPr>
              <w:t>jtsai@siliconmotion.com</w:t>
            </w:r>
          </w:p>
        </w:tc>
        <w:tc>
          <w:tcPr>
            <w:tcW w:w="1620" w:type="dxa"/>
            <w:vAlign w:val="bottom"/>
          </w:tcPr>
          <w:p>
            <w:pPr>
              <w:spacing w:after="0" w:line="190" w:lineRule="exact"/>
              <w:rPr>
                <w:sz w:val="20"/>
                <w:szCs w:val="20"/>
                <w:color w:val="auto"/>
              </w:rPr>
            </w:pPr>
            <w:r>
              <w:rPr>
                <w:rFonts w:ascii="Arial" w:cs="Arial" w:eastAsia="Arial" w:hAnsi="Arial"/>
                <w:sz w:val="18"/>
                <w:szCs w:val="18"/>
                <w:color w:val="auto"/>
                <w:w w:val="93"/>
              </w:rPr>
              <w:t>ir@siliconmotion.com</w:t>
            </w:r>
          </w:p>
        </w:tc>
      </w:tr>
      <w:tr>
        <w:trPr>
          <w:trHeight w:val="452"/>
        </w:trPr>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Media Contact:</w:t>
            </w:r>
          </w:p>
        </w:tc>
        <w:tc>
          <w:tcPr>
            <w:tcW w:w="274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Dan Scorpio, H/Advisors Abernathy</w:t>
            </w:r>
          </w:p>
        </w:tc>
        <w:tc>
          <w:tcPr>
            <w:tcW w:w="1620" w:type="dxa"/>
            <w:vAlign w:val="bottom"/>
          </w:tcPr>
          <w:p>
            <w:pPr>
              <w:spacing w:after="0"/>
              <w:rPr>
                <w:sz w:val="18"/>
                <w:szCs w:val="18"/>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Dan.scorpio@h-advisors.global</w:t>
            </w:r>
          </w:p>
        </w:tc>
        <w:tc>
          <w:tcPr>
            <w:tcW w:w="1620" w:type="dxa"/>
            <w:vAlign w:val="bottom"/>
          </w:tcPr>
          <w:p>
            <w:pPr>
              <w:spacing w:after="0"/>
              <w:rPr>
                <w:sz w:val="20"/>
                <w:szCs w:val="20"/>
                <w:color w:val="auto"/>
              </w:rPr>
            </w:pPr>
          </w:p>
        </w:tc>
      </w:tr>
      <w:tr>
        <w:trPr>
          <w:trHeight w:val="364"/>
        </w:trPr>
        <w:tc>
          <w:tcPr>
            <w:tcW w:w="1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13</w:t>
            </w: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2023-11-02T08:37:17Z</dcterms:created>
  <dcterms:modified xsi:type="dcterms:W3CDTF">2023-11-02T08:37:17Z</dcterms:modified>
</cp:coreProperties>
</file>