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9293d6k.htm"/>
      <w:bookmarkStart w:id="1" w:name="ksd6929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000-51380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240" w:after="0"/>
        <w:jc w:val="left"/>
        <w:rPr>
          <w:rFonts w:ascii="Times New Roman" w:hAnsi="Times New Roman"/>
          <w:sz w:val="20"/>
        </w:rPr>
      </w:pPr>
      <w:r>
        <w:rPr>
          <w:rFonts w:ascii="Times New Roman" w:hAnsi="Times New Roman"/>
          <w:sz w:val="20"/>
        </w:rPr>
        <w:t xml:space="preserve">This Form 6-K is hereby incorporated by reference into the Company’s Registration Statement on Form S-8 filed with the U.S. Securities and Exchange Commission on June 4, 2025 (Registration No. 333-287771).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hyperlink w:anchor="d69293dex991.htm">
              <w:r>
                <w:rPr>
                  <w:rStyle w:val="InternetLink"/>
                </w:rPr>
                <w:t xml:space="preserve">Press Release issued by the Company on September 22, 2026 </w:t>
              </w:r>
            </w:hyperlink>
          </w:p>
        </w:tc>
      </w:tr>
    </w:tbl>
    <w:p>
      <w:pPr>
        <w:pStyle w:val="TextBody"/>
        <w:bidi w:val="0"/>
        <w:spacing w:before="24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pPr>
            <w:r>
              <w:rPr/>
              <w:t>Date: September 22, 2026</w:t>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69293dex991.htm"/>
      <w:bookmarkStart w:id="3" w:name="ksd6929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907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4572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SILICON MOTION TECHNOLOGY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THE 2026 ANNUAL GENERAL MEETING OF SHAREHOLDERS VOTING RESULTS </w:t>
      </w:r>
    </w:p>
    <w:p>
      <w:pPr>
        <w:pStyle w:val="TextBody"/>
        <w:bidi w:val="0"/>
        <w:spacing w:before="240" w:after="0"/>
        <w:jc w:val="left"/>
        <w:rPr>
          <w:rFonts w:ascii="Times New Roman" w:hAnsi="Times New Roman"/>
          <w:sz w:val="20"/>
        </w:rPr>
      </w:pPr>
      <w:r>
        <w:rPr>
          <w:rFonts w:ascii="Times New Roman" w:hAnsi="Times New Roman"/>
          <w:sz w:val="20"/>
        </w:rPr>
        <w:t>Silicon Motion Technology Corporation, a company organized under the laws of the Cayman Islands (the “</w:t>
      </w:r>
      <w:r>
        <w:rPr>
          <w:rFonts w:ascii="Times New Roman" w:hAnsi="Times New Roman"/>
          <w:b/>
          <w:sz w:val="20"/>
        </w:rPr>
        <w:t>Company</w:t>
      </w:r>
      <w:r>
        <w:rPr>
          <w:rFonts w:ascii="Times New Roman" w:hAnsi="Times New Roman"/>
          <w:sz w:val="20"/>
        </w:rPr>
        <w:t>”), held its 2026 Annual General Meeting of Shareholders on September 22, 2026 (the “</w:t>
      </w:r>
      <w:r>
        <w:rPr>
          <w:rFonts w:ascii="Times New Roman" w:hAnsi="Times New Roman"/>
          <w:b/>
          <w:sz w:val="20"/>
        </w:rPr>
        <w:t>Annual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135,372,262 ordinary shares out of the Company’s 135,632,940 ordinary shares issued and outstanding, which represented more than a majority of the Company issued and outstanding ordinary shares were represented in person or by proxy at the Annual Meeting, constituting a quorum.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the Company’s shareholders considered two proposals, each of which is described briefly below and in more detail in the Company’s Notice of Annual General Meeting, dated August 10, 20261. The final voting results for each proposal are set forth below. </w:t>
      </w:r>
    </w:p>
    <w:p>
      <w:pPr>
        <w:pStyle w:val="TextBody"/>
        <w:bidi w:val="0"/>
        <w:spacing w:before="240" w:after="0"/>
        <w:jc w:val="left"/>
        <w:rPr>
          <w:rFonts w:ascii="Times New Roman" w:hAnsi="Times New Roman"/>
          <w:b/>
          <w:sz w:val="20"/>
        </w:rPr>
      </w:pPr>
      <w:r>
        <w:rPr>
          <w:rFonts w:ascii="Times New Roman" w:hAnsi="Times New Roman"/>
          <w:b/>
          <w:sz w:val="20"/>
        </w:rPr>
        <w:t xml:space="preserve">PROPOSAL 1: To re-elect Mr. Tsung-Ming Chung and Mr. Steve Chen as the directors of the Company, who retired by rotation pursuant to the Articles.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 xml:space="preserve">FOR </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ABSTAIN</w:t>
            </w:r>
          </w:p>
        </w:tc>
      </w:tr>
      <w:tr>
        <w:trPr/>
        <w:tc>
          <w:tcPr>
            <w:tcW w:w="3469" w:type="dxa"/>
            <w:tcBorders/>
            <w:shd w:fill="CCEEFF" w:val="clear"/>
          </w:tcPr>
          <w:p>
            <w:pPr>
              <w:pStyle w:val="TableContents"/>
              <w:bidi w:val="0"/>
              <w:spacing w:before="0" w:after="283"/>
              <w:jc w:val="center"/>
              <w:rPr/>
            </w:pPr>
            <w:r>
              <w:rPr/>
              <w:t>118,534,106</w:t>
            </w:r>
          </w:p>
        </w:tc>
        <w:tc>
          <w:tcPr>
            <w:tcW w:w="102" w:type="dxa"/>
            <w:tcBorders/>
            <w:shd w:fill="CCEEFF" w:val="clear"/>
            <w:vAlign w:val="bottom"/>
          </w:tcPr>
          <w:p>
            <w:pPr>
              <w:pStyle w:val="TableContents"/>
              <w:bidi w:val="0"/>
              <w:spacing w:before="0" w:after="283"/>
              <w:jc w:val="left"/>
              <w:rPr/>
            </w:pPr>
            <w:r>
              <w:rPr/>
              <w:t> </w:t>
            </w:r>
          </w:p>
        </w:tc>
        <w:tc>
          <w:tcPr>
            <w:tcW w:w="3266" w:type="dxa"/>
            <w:tcBorders/>
            <w:shd w:fill="CCEEFF" w:val="clear"/>
          </w:tcPr>
          <w:p>
            <w:pPr>
              <w:pStyle w:val="TableContents"/>
              <w:bidi w:val="0"/>
              <w:spacing w:before="0" w:after="283"/>
              <w:jc w:val="center"/>
              <w:rPr/>
            </w:pPr>
            <w:r>
              <w:rPr/>
              <w:t>16,636,360</w:t>
            </w:r>
          </w:p>
        </w:tc>
        <w:tc>
          <w:tcPr>
            <w:tcW w:w="102" w:type="dxa"/>
            <w:tcBorders/>
            <w:shd w:fill="CCEEFF" w:val="clear"/>
            <w:vAlign w:val="bottom"/>
          </w:tcPr>
          <w:p>
            <w:pPr>
              <w:pStyle w:val="TableContents"/>
              <w:bidi w:val="0"/>
              <w:spacing w:before="0" w:after="283"/>
              <w:jc w:val="left"/>
              <w:rPr/>
            </w:pPr>
            <w:r>
              <w:rPr/>
              <w:t> </w:t>
            </w:r>
          </w:p>
        </w:tc>
        <w:tc>
          <w:tcPr>
            <w:tcW w:w="3266" w:type="dxa"/>
            <w:tcBorders/>
            <w:shd w:fill="CCEEFF" w:val="clear"/>
          </w:tcPr>
          <w:p>
            <w:pPr>
              <w:pStyle w:val="TableContents"/>
              <w:bidi w:val="0"/>
              <w:spacing w:before="0" w:after="283"/>
              <w:jc w:val="center"/>
              <w:rPr/>
            </w:pPr>
            <w:r>
              <w:rPr/>
              <w:t>201,796</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proposal had been passed as an ordinary resolution at the Annual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PROPOSAL 2: To ratify the appointment of Deloitte &amp; Touche as independent auditors of the Company for the fiscal year ending on December 31, 2026 and authorize the directors to fix their remuneration.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 xml:space="preserve">FOR </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ABSTAIN</w:t>
            </w:r>
          </w:p>
        </w:tc>
      </w:tr>
      <w:tr>
        <w:trPr/>
        <w:tc>
          <w:tcPr>
            <w:tcW w:w="3469" w:type="dxa"/>
            <w:tcBorders/>
            <w:shd w:fill="CCEEFF" w:val="clear"/>
          </w:tcPr>
          <w:p>
            <w:pPr>
              <w:pStyle w:val="TableContents"/>
              <w:bidi w:val="0"/>
              <w:spacing w:before="0" w:after="283"/>
              <w:jc w:val="center"/>
              <w:rPr/>
            </w:pPr>
            <w:r>
              <w:rPr/>
              <w:t>131,271,102</w:t>
            </w:r>
          </w:p>
        </w:tc>
        <w:tc>
          <w:tcPr>
            <w:tcW w:w="102" w:type="dxa"/>
            <w:tcBorders/>
            <w:shd w:fill="CCEEFF" w:val="clear"/>
            <w:vAlign w:val="bottom"/>
          </w:tcPr>
          <w:p>
            <w:pPr>
              <w:pStyle w:val="TableContents"/>
              <w:bidi w:val="0"/>
              <w:spacing w:before="0" w:after="283"/>
              <w:jc w:val="left"/>
              <w:rPr/>
            </w:pPr>
            <w:r>
              <w:rPr/>
              <w:t> </w:t>
            </w:r>
          </w:p>
        </w:tc>
        <w:tc>
          <w:tcPr>
            <w:tcW w:w="3266" w:type="dxa"/>
            <w:tcBorders/>
            <w:shd w:fill="CCEEFF" w:val="clear"/>
          </w:tcPr>
          <w:p>
            <w:pPr>
              <w:pStyle w:val="TableContents"/>
              <w:bidi w:val="0"/>
              <w:spacing w:before="0" w:after="283"/>
              <w:jc w:val="center"/>
              <w:rPr/>
            </w:pPr>
            <w:r>
              <w:rPr/>
              <w:t>3,746,204</w:t>
            </w:r>
          </w:p>
        </w:tc>
        <w:tc>
          <w:tcPr>
            <w:tcW w:w="102" w:type="dxa"/>
            <w:tcBorders/>
            <w:shd w:fill="CCEEFF" w:val="clear"/>
            <w:vAlign w:val="bottom"/>
          </w:tcPr>
          <w:p>
            <w:pPr>
              <w:pStyle w:val="TableContents"/>
              <w:bidi w:val="0"/>
              <w:spacing w:before="0" w:after="283"/>
              <w:jc w:val="left"/>
              <w:rPr/>
            </w:pPr>
            <w:r>
              <w:rPr/>
              <w:t> </w:t>
            </w:r>
          </w:p>
        </w:tc>
        <w:tc>
          <w:tcPr>
            <w:tcW w:w="3266" w:type="dxa"/>
            <w:tcBorders/>
            <w:shd w:fill="CCEEFF" w:val="clear"/>
          </w:tcPr>
          <w:p>
            <w:pPr>
              <w:pStyle w:val="TableContents"/>
              <w:bidi w:val="0"/>
              <w:spacing w:before="0" w:after="283"/>
              <w:jc w:val="center"/>
              <w:rPr/>
            </w:pPr>
            <w:r>
              <w:rPr/>
              <w:t>354,956</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proposal had been passed as an ordinary resolution at the Annual Meeting.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https://ir.siliconmotion.com/static-files/be5181e3-8cb8-4dcd-bc11-8c5b40dbde70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425</Words>
  <Characters>2397</Characters>
  <CharactersWithSpaces>2851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