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3725d6k.htm"/>
      <w:bookmarkStart w:id="1" w:name="ksd41372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This Form 6-K is hereby incorporated by reference into the Company’s Registration Statement on Form S-8 filed with the U.S. Securities and Exchange Commission on June 4, 2025 (Registration No. 333-287771).</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61"/>
        <w:gridCol w:w="694"/>
        <w:gridCol w:w="8650"/>
      </w:tblGrid>
      <w:tr>
        <w:trPr/>
        <w:tc>
          <w:tcPr>
            <w:tcW w:w="861" w:type="dxa"/>
            <w:tcBorders/>
            <w:vAlign w:val="center"/>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8650"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94" w:type="dxa"/>
            <w:tcBorders/>
            <w:vAlign w:val="bottom"/>
          </w:tcPr>
          <w:p>
            <w:pPr>
              <w:pStyle w:val="TableContents"/>
              <w:bidi w:val="0"/>
              <w:spacing w:before="0" w:after="283"/>
              <w:jc w:val="left"/>
              <w:rPr/>
            </w:pPr>
            <w:r>
              <w:rPr/>
              <w:t>  </w:t>
            </w:r>
          </w:p>
        </w:tc>
        <w:tc>
          <w:tcPr>
            <w:tcW w:w="86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99.1</w:t>
            </w:r>
          </w:p>
        </w:tc>
        <w:tc>
          <w:tcPr>
            <w:tcW w:w="694" w:type="dxa"/>
            <w:tcBorders/>
            <w:vAlign w:val="bottom"/>
          </w:tcPr>
          <w:p>
            <w:pPr>
              <w:pStyle w:val="TableContents"/>
              <w:bidi w:val="0"/>
              <w:spacing w:before="0" w:after="283"/>
              <w:jc w:val="left"/>
              <w:rPr/>
            </w:pPr>
            <w:r>
              <w:rPr/>
              <w:t>  </w:t>
            </w:r>
          </w:p>
        </w:tc>
        <w:tc>
          <w:tcPr>
            <w:tcW w:w="8650" w:type="dxa"/>
            <w:tcBorders/>
          </w:tcPr>
          <w:p>
            <w:pPr>
              <w:pStyle w:val="TableContents"/>
              <w:bidi w:val="0"/>
              <w:spacing w:before="0" w:after="283"/>
              <w:jc w:val="left"/>
              <w:rPr/>
            </w:pPr>
            <w:hyperlink w:anchor="d413725dex991.htm">
              <w:r>
                <w:rPr>
                  <w:rStyle w:val="InternetLink"/>
                </w:rPr>
                <w:t xml:space="preserve">Press Release issued by the Company on October 16,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October 16,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413725dex991.htm"/>
      <w:bookmarkStart w:id="3" w:name="ksd41372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2"/>
        <w:gridCol w:w="120"/>
        <w:gridCol w:w="8683"/>
      </w:tblGrid>
      <w:tr>
        <w:trPr/>
        <w:tc>
          <w:tcPr>
            <w:tcW w:w="1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83" w:type="dxa"/>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center"/>
              <w:rPr/>
            </w:pPr>
            <w:r>
              <w:rPr/>
              <w:drawing>
                <wp:inline distT="0" distB="0" distL="0" distR="0">
                  <wp:extent cx="78105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 cy="8667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0"/>
              <w:jc w:val="center"/>
              <w:rPr>
                <w:rFonts w:ascii="Times New Roman" w:hAnsi="Times New Roman"/>
                <w:b/>
                <w:sz w:val="20"/>
              </w:rPr>
            </w:pPr>
            <w:r>
              <w:rPr>
                <w:rFonts w:ascii="Times New Roman" w:hAnsi="Times New Roman"/>
                <w:b/>
                <w:sz w:val="20"/>
              </w:rPr>
              <w:t>Silicon Motion Announces Annual Dividend</w:t>
            </w:r>
          </w:p>
          <w:p>
            <w:pPr>
              <w:pStyle w:val="TableContents"/>
              <w:bidi w:val="0"/>
              <w:spacing w:before="0" w:after="20"/>
              <w:jc w:val="center"/>
              <w:rPr>
                <w:rFonts w:ascii="Times New Roman" w:hAnsi="Times New Roman"/>
                <w:b/>
                <w:sz w:val="20"/>
              </w:rPr>
            </w:pPr>
            <w:r>
              <w:rPr>
                <w:rFonts w:ascii="Times New Roman" w:hAnsi="Times New Roman"/>
                <w:b/>
                <w:sz w:val="20"/>
              </w:rPr>
              <w:t>Increase</w:t>
            </w:r>
          </w:p>
        </w:tc>
      </w:tr>
    </w:tbl>
    <w:p>
      <w:pPr>
        <w:pStyle w:val="TextBody"/>
        <w:bidi w:val="0"/>
        <w:spacing w:before="240" w:after="0"/>
        <w:jc w:val="left"/>
        <w:rPr>
          <w:rFonts w:ascii="Times New Roman" w:hAnsi="Times New Roman"/>
          <w:sz w:val="20"/>
        </w:rPr>
      </w:pPr>
      <w:r>
        <w:rPr>
          <w:rFonts w:ascii="Times New Roman" w:hAnsi="Times New Roman"/>
          <w:sz w:val="20"/>
        </w:rPr>
        <w:t xml:space="preserve">TAIPEI, Taiwan and MILPITAS, Calif., October 16, 2026 –Silicon Motion Technology Corporation (NasdaqGS: SIMO) (“Silicon Motion” or the “Company”), a global leader in designing and marketing NAND flash controllers for solid state storage devices, announces today its annual cash dividend of $2.30 per ADS, a 15% increase from the $2.00 per ADS declared in 2025. </w:t>
      </w:r>
    </w:p>
    <w:p>
      <w:pPr>
        <w:pStyle w:val="TextBody"/>
        <w:bidi w:val="0"/>
        <w:spacing w:before="240" w:after="0"/>
        <w:jc w:val="left"/>
        <w:rPr>
          <w:rFonts w:ascii="Times New Roman" w:hAnsi="Times New Roman"/>
          <w:sz w:val="20"/>
        </w:rPr>
      </w:pPr>
      <w:r>
        <w:rPr>
          <w:rFonts w:ascii="Times New Roman" w:hAnsi="Times New Roman"/>
          <w:sz w:val="20"/>
        </w:rPr>
        <w:t xml:space="preserve">Following three years of strong financial performance, the Board has decided to increase its annual dividend payment to $2.30 per ADS1,2 which will be paid in four quarterly installments of $0.575 per ADS3 according to the following anticipated record and payment dates: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039"/>
        <w:gridCol w:w="120"/>
        <w:gridCol w:w="7637"/>
      </w:tblGrid>
      <w:tr>
        <w:trPr/>
        <w:tc>
          <w:tcPr>
            <w:tcW w:w="20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37" w:type="dxa"/>
            <w:tcBorders/>
            <w:vAlign w:val="center"/>
          </w:tcPr>
          <w:p>
            <w:pPr>
              <w:pStyle w:val="TableContents"/>
              <w:bidi w:val="0"/>
              <w:spacing w:before="0" w:after="283"/>
              <w:jc w:val="left"/>
              <w:rPr>
                <w:sz w:val="4"/>
                <w:szCs w:val="4"/>
              </w:rPr>
            </w:pPr>
            <w:r>
              <w:rPr>
                <w:sz w:val="4"/>
                <w:szCs w:val="4"/>
              </w:rPr>
            </w:r>
          </w:p>
        </w:tc>
      </w:tr>
      <w:tr>
        <w:trPr/>
        <w:tc>
          <w:tcPr>
            <w:tcW w:w="2039" w:type="dxa"/>
            <w:tcBorders/>
          </w:tcPr>
          <w:p>
            <w:pPr>
              <w:pStyle w:val="TableContents"/>
              <w:bidi w:val="0"/>
              <w:spacing w:before="0" w:after="283"/>
              <w:jc w:val="left"/>
              <w:rPr>
                <w:u w:val="single"/>
              </w:rPr>
            </w:pPr>
            <w:r>
              <w:rPr>
                <w:u w:val="single"/>
              </w:rPr>
              <w:t>Record Date</w:t>
            </w:r>
          </w:p>
        </w:tc>
        <w:tc>
          <w:tcPr>
            <w:tcW w:w="120" w:type="dxa"/>
            <w:tcBorders/>
            <w:vAlign w:val="bottom"/>
          </w:tcPr>
          <w:p>
            <w:pPr>
              <w:pStyle w:val="TableContents"/>
              <w:bidi w:val="0"/>
              <w:spacing w:before="0" w:after="283"/>
              <w:jc w:val="left"/>
              <w:rPr/>
            </w:pPr>
            <w:r>
              <w:rPr/>
              <w:t>  </w:t>
            </w:r>
          </w:p>
        </w:tc>
        <w:tc>
          <w:tcPr>
            <w:tcW w:w="7637" w:type="dxa"/>
            <w:tcBorders/>
          </w:tcPr>
          <w:p>
            <w:pPr>
              <w:pStyle w:val="TableContents"/>
              <w:bidi w:val="0"/>
              <w:spacing w:before="0" w:after="283"/>
              <w:jc w:val="left"/>
              <w:rPr>
                <w:u w:val="single"/>
              </w:rPr>
            </w:pPr>
            <w:r>
              <w:rPr>
                <w:u w:val="single"/>
              </w:rPr>
              <w:t>Payment Date</w:t>
            </w:r>
          </w:p>
        </w:tc>
      </w:tr>
      <w:tr>
        <w:trPr/>
        <w:tc>
          <w:tcPr>
            <w:tcW w:w="2039" w:type="dxa"/>
            <w:tcBorders/>
          </w:tcPr>
          <w:p>
            <w:pPr>
              <w:pStyle w:val="TableContents"/>
              <w:bidi w:val="0"/>
              <w:spacing w:before="0" w:after="283"/>
              <w:jc w:val="left"/>
              <w:rPr/>
            </w:pPr>
            <w:r>
              <w:rPr/>
              <w:t>November 5, 2026</w:t>
            </w:r>
          </w:p>
        </w:tc>
        <w:tc>
          <w:tcPr>
            <w:tcW w:w="120" w:type="dxa"/>
            <w:tcBorders/>
            <w:vAlign w:val="bottom"/>
          </w:tcPr>
          <w:p>
            <w:pPr>
              <w:pStyle w:val="TableContents"/>
              <w:bidi w:val="0"/>
              <w:spacing w:before="0" w:after="283"/>
              <w:jc w:val="left"/>
              <w:rPr/>
            </w:pPr>
            <w:r>
              <w:rPr/>
              <w:t>  </w:t>
            </w:r>
          </w:p>
        </w:tc>
        <w:tc>
          <w:tcPr>
            <w:tcW w:w="7637" w:type="dxa"/>
            <w:tcBorders/>
          </w:tcPr>
          <w:p>
            <w:pPr>
              <w:pStyle w:val="TableContents"/>
              <w:bidi w:val="0"/>
              <w:spacing w:before="0" w:after="283"/>
              <w:jc w:val="left"/>
              <w:rPr/>
            </w:pPr>
            <w:r>
              <w:rPr/>
              <w:t>November 19, 2026</w:t>
            </w:r>
          </w:p>
        </w:tc>
      </w:tr>
      <w:tr>
        <w:trPr/>
        <w:tc>
          <w:tcPr>
            <w:tcW w:w="2039" w:type="dxa"/>
            <w:tcBorders/>
          </w:tcPr>
          <w:p>
            <w:pPr>
              <w:pStyle w:val="TableContents"/>
              <w:bidi w:val="0"/>
              <w:spacing w:before="0" w:after="283"/>
              <w:jc w:val="left"/>
              <w:rPr/>
            </w:pPr>
            <w:r>
              <w:rPr/>
              <w:t>February 16, 2027</w:t>
            </w:r>
          </w:p>
        </w:tc>
        <w:tc>
          <w:tcPr>
            <w:tcW w:w="120" w:type="dxa"/>
            <w:tcBorders/>
            <w:vAlign w:val="bottom"/>
          </w:tcPr>
          <w:p>
            <w:pPr>
              <w:pStyle w:val="TableContents"/>
              <w:bidi w:val="0"/>
              <w:spacing w:before="0" w:after="283"/>
              <w:jc w:val="left"/>
              <w:rPr/>
            </w:pPr>
            <w:r>
              <w:rPr/>
              <w:t>  </w:t>
            </w:r>
          </w:p>
        </w:tc>
        <w:tc>
          <w:tcPr>
            <w:tcW w:w="7637" w:type="dxa"/>
            <w:tcBorders/>
          </w:tcPr>
          <w:p>
            <w:pPr>
              <w:pStyle w:val="TableContents"/>
              <w:bidi w:val="0"/>
              <w:spacing w:before="0" w:after="283"/>
              <w:jc w:val="left"/>
              <w:rPr/>
            </w:pPr>
            <w:r>
              <w:rPr/>
              <w:t>February 26, 2027</w:t>
            </w:r>
          </w:p>
        </w:tc>
      </w:tr>
      <w:tr>
        <w:trPr/>
        <w:tc>
          <w:tcPr>
            <w:tcW w:w="2039" w:type="dxa"/>
            <w:tcBorders/>
          </w:tcPr>
          <w:p>
            <w:pPr>
              <w:pStyle w:val="TableContents"/>
              <w:bidi w:val="0"/>
              <w:spacing w:before="0" w:after="283"/>
              <w:jc w:val="left"/>
              <w:rPr/>
            </w:pPr>
            <w:r>
              <w:rPr/>
              <w:t>May 6, 2027</w:t>
            </w:r>
          </w:p>
        </w:tc>
        <w:tc>
          <w:tcPr>
            <w:tcW w:w="120" w:type="dxa"/>
            <w:tcBorders/>
            <w:vAlign w:val="bottom"/>
          </w:tcPr>
          <w:p>
            <w:pPr>
              <w:pStyle w:val="TableContents"/>
              <w:bidi w:val="0"/>
              <w:spacing w:before="0" w:after="283"/>
              <w:jc w:val="left"/>
              <w:rPr/>
            </w:pPr>
            <w:r>
              <w:rPr/>
              <w:t>  </w:t>
            </w:r>
          </w:p>
        </w:tc>
        <w:tc>
          <w:tcPr>
            <w:tcW w:w="7637" w:type="dxa"/>
            <w:tcBorders/>
          </w:tcPr>
          <w:p>
            <w:pPr>
              <w:pStyle w:val="TableContents"/>
              <w:bidi w:val="0"/>
              <w:spacing w:before="0" w:after="283"/>
              <w:jc w:val="left"/>
              <w:rPr/>
            </w:pPr>
            <w:r>
              <w:rPr/>
              <w:t>May 21, 2027</w:t>
            </w:r>
          </w:p>
        </w:tc>
      </w:tr>
      <w:tr>
        <w:trPr/>
        <w:tc>
          <w:tcPr>
            <w:tcW w:w="2039" w:type="dxa"/>
            <w:tcBorders/>
          </w:tcPr>
          <w:p>
            <w:pPr>
              <w:pStyle w:val="TableContents"/>
              <w:bidi w:val="0"/>
              <w:spacing w:before="0" w:after="283"/>
              <w:jc w:val="left"/>
              <w:rPr/>
            </w:pPr>
            <w:r>
              <w:rPr/>
              <w:t>August 5, 2027</w:t>
            </w:r>
          </w:p>
        </w:tc>
        <w:tc>
          <w:tcPr>
            <w:tcW w:w="120" w:type="dxa"/>
            <w:tcBorders/>
            <w:vAlign w:val="bottom"/>
          </w:tcPr>
          <w:p>
            <w:pPr>
              <w:pStyle w:val="TableContents"/>
              <w:bidi w:val="0"/>
              <w:spacing w:before="0" w:after="283"/>
              <w:jc w:val="left"/>
              <w:rPr/>
            </w:pPr>
            <w:r>
              <w:rPr/>
              <w:t>  </w:t>
            </w:r>
          </w:p>
        </w:tc>
        <w:tc>
          <w:tcPr>
            <w:tcW w:w="7637" w:type="dxa"/>
            <w:tcBorders/>
          </w:tcPr>
          <w:p>
            <w:pPr>
              <w:pStyle w:val="TableContents"/>
              <w:bidi w:val="0"/>
              <w:spacing w:before="0" w:after="283"/>
              <w:jc w:val="left"/>
              <w:rPr/>
            </w:pPr>
            <w:r>
              <w:rPr/>
              <w:t>August 19, 2027</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depository bank’s DR books will be closed for issuance and cancellation on each of the record dates. </w:t>
      </w:r>
    </w:p>
    <w:p>
      <w:pPr>
        <w:pStyle w:val="TextBody"/>
        <w:bidi w:val="0"/>
        <w:spacing w:before="240" w:after="0"/>
        <w:jc w:val="left"/>
        <w:rPr/>
      </w:pPr>
      <w:r>
        <w:rPr/>
        <w:t>“</w:t>
      </w:r>
      <w:r>
        <w:rPr>
          <w:rFonts w:ascii="Times New Roman" w:hAnsi="Times New Roman"/>
          <w:sz w:val="20"/>
        </w:rPr>
        <w:t xml:space="preserve">Since we have significantly increased our revenue and profitability, and our business outlook remains strong and on track for a record results this year, our Board has decided to increase our annual dividend,” said Wallace Kou, President and CEO of Silicon Motion.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the annual dividend to be paid in quarterly installments will be made according to the anticipated record and payment dates unless subsequently changed by the Board. The declaration and payment of future cash dividends is subject to the Board’s continuing determination that the payment of dividends is in the best interests of the Company’s shareholders and is in compliance with all laws and agreements of the Company applicable to the declaration and payment of cash dividends.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ADS is equivalent to four ordinary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$2.30 per ADS is equivalent to $0.575 per ordinary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$0.575 per ADS is equivalent to $0.14375 per ordinary share.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SILICON MOTION: </w:t>
      </w:r>
    </w:p>
    <w:p>
      <w:pPr>
        <w:pStyle w:val="TextBody"/>
        <w:bidi w:val="0"/>
        <w:spacing w:before="120" w:after="0"/>
        <w:jc w:val="left"/>
        <w:rPr>
          <w:rFonts w:ascii="Times New Roman" w:hAnsi="Times New Roman"/>
          <w:sz w:val="20"/>
        </w:rPr>
      </w:pPr>
      <w:r>
        <w:rPr>
          <w:rFonts w:ascii="Times New Roman" w:hAnsi="Times New Roman"/>
          <w:sz w:val="20"/>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 and specialized industrial and automotive SSD solutions. Our customers include most of the NAND flash vendors, storage device module makers and leading OEMs. For further information on Silicon Motion, visit us at </w:t>
      </w:r>
      <w:r>
        <w:rPr>
          <w:rFonts w:ascii="Times New Roman" w:hAnsi="Times New Roman"/>
          <w:sz w:val="20"/>
          <w:u w:val="single"/>
        </w:rPr>
        <w:t>www.siliconmotion.com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from one or more customers; general economic conditions or conditions in the semiconductor or consumer electronics markets; the impact of inflation on our business and customers’ businesses and any effect this has on economic activity in the markets in which we operate; the functionalities and performance of our information technology (“IT”) systems, which are subject to cybersecurity threats and which support our critical operational activities, and any breaches of our IT systems or those of our customers, suppliers, partners and providers of third-party licensed technology; the effects on our business and our customers’ business taking into account the ongoing U.S.-China tariffs and trade disputes; other factors beyond our control such as natural disasters, terrorism, civil unrest, war, including conflicts in the Middle East, threats to the Strait of Hormuz and global energy supply routes, and the ongoing Russia-Ukraine War, and pandemics, epidemics and other health emergencies; the continuing tensions between Taiwan and China, including enhanced military activities; decreases in the overall average selling prices of our products; changes in the relative sales mix of our products;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customers’ sales outlook, purchasing patterns, and inventory adjustments based on consumer demands and general economic conditions; any potential impairment charges that may be incurred related to businesses previously acquired or divested in the future; the risk that the anticipated benefits from our PCIe 5 controller products, including higher average selling prices, may not be maintained or may be less than expected; the risk that our anticipated market share gains across our product lines and penetration of enterprise end markets may not materialize as expected or on the anticipated timeline;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U.S. Securities and Exchange Commission, including our Annual Report on Form 20-F filed with the U.S. Securities and Exchange Commission on April 30, 2026. Other than as required under the securities laws, we do not intend, and do not undertake any obligation to, update or revise any forward-looking statements, which apply only as of the date of this news release.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37"/>
        <w:gridCol w:w="122"/>
        <w:gridCol w:w="4646"/>
      </w:tblGrid>
      <w:tr>
        <w:trPr/>
        <w:tc>
          <w:tcPr>
            <w:tcW w:w="543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46" w:type="dxa"/>
            <w:tcBorders/>
            <w:vAlign w:val="center"/>
          </w:tcPr>
          <w:p>
            <w:pPr>
              <w:pStyle w:val="TableContents"/>
              <w:bidi w:val="0"/>
              <w:spacing w:before="0" w:after="283"/>
              <w:jc w:val="left"/>
              <w:rPr>
                <w:sz w:val="4"/>
                <w:szCs w:val="4"/>
              </w:rPr>
            </w:pPr>
            <w:r>
              <w:rPr>
                <w:sz w:val="4"/>
                <w:szCs w:val="4"/>
              </w:rPr>
            </w:r>
          </w:p>
        </w:tc>
      </w:tr>
      <w:tr>
        <w:trPr/>
        <w:tc>
          <w:tcPr>
            <w:tcW w:w="5437" w:type="dxa"/>
            <w:tcBorders/>
          </w:tcPr>
          <w:p>
            <w:pPr>
              <w:pStyle w:val="TableContents"/>
              <w:bidi w:val="0"/>
              <w:spacing w:before="0" w:after="283"/>
              <w:jc w:val="left"/>
              <w:rPr>
                <w:b/>
              </w:rPr>
            </w:pPr>
            <w:r>
              <w:rPr>
                <w:b/>
              </w:rPr>
              <w:t>Investor Contact:</w:t>
            </w:r>
          </w:p>
        </w:tc>
        <w:tc>
          <w:tcPr>
            <w:tcW w:w="122" w:type="dxa"/>
            <w:tcBorders/>
            <w:vAlign w:val="bottom"/>
          </w:tcPr>
          <w:p>
            <w:pPr>
              <w:pStyle w:val="TableContents"/>
              <w:bidi w:val="0"/>
              <w:spacing w:before="0" w:after="283"/>
              <w:jc w:val="left"/>
              <w:rPr/>
            </w:pPr>
            <w:r>
              <w:rPr/>
              <w:t>  </w:t>
            </w:r>
          </w:p>
        </w:tc>
        <w:tc>
          <w:tcPr>
            <w:tcW w:w="4646" w:type="dxa"/>
            <w:tcBorders/>
          </w:tcPr>
          <w:p>
            <w:pPr>
              <w:pStyle w:val="TableContents"/>
              <w:bidi w:val="0"/>
              <w:spacing w:before="0" w:after="283"/>
              <w:jc w:val="left"/>
              <w:rPr>
                <w:b/>
              </w:rPr>
            </w:pPr>
            <w:r>
              <w:rPr>
                <w:b/>
              </w:rPr>
              <w:t>Investor Contact:</w:t>
            </w:r>
          </w:p>
        </w:tc>
      </w:tr>
      <w:tr>
        <w:trPr>
          <w:trHeight w:val="120" w:hRule="atLeast"/>
        </w:trPr>
        <w:tc>
          <w:tcPr>
            <w:tcW w:w="5437" w:type="dxa"/>
            <w:tcBorders/>
            <w:vAlign w:val="center"/>
          </w:tcPr>
          <w:p>
            <w:pPr>
              <w:pStyle w:val="TableContents"/>
              <w:bidi w:val="0"/>
              <w:spacing w:before="0" w:after="283"/>
              <w:jc w:val="left"/>
              <w:rPr>
                <w:sz w:val="4"/>
                <w:szCs w:val="4"/>
              </w:rPr>
            </w:pPr>
            <w:r>
              <w:rPr>
                <w:sz w:val="4"/>
                <w:szCs w:val="4"/>
              </w:rPr>
            </w:r>
          </w:p>
        </w:tc>
        <w:tc>
          <w:tcPr>
            <w:tcW w:w="4768" w:type="dxa"/>
            <w:gridSpan w:val="2"/>
            <w:tcBorders/>
            <w:vAlign w:val="center"/>
          </w:tcPr>
          <w:p>
            <w:pPr>
              <w:pStyle w:val="TableContents"/>
              <w:bidi w:val="0"/>
              <w:spacing w:before="0" w:after="283"/>
              <w:jc w:val="left"/>
              <w:rPr>
                <w:sz w:val="4"/>
                <w:szCs w:val="4"/>
              </w:rPr>
            </w:pPr>
            <w:r>
              <w:rPr>
                <w:sz w:val="4"/>
                <w:szCs w:val="4"/>
              </w:rPr>
            </w:r>
          </w:p>
        </w:tc>
      </w:tr>
      <w:tr>
        <w:trPr/>
        <w:tc>
          <w:tcPr>
            <w:tcW w:w="5437" w:type="dxa"/>
            <w:tcBorders/>
          </w:tcPr>
          <w:p>
            <w:pPr>
              <w:pStyle w:val="TableContents"/>
              <w:bidi w:val="0"/>
              <w:spacing w:before="0" w:after="283"/>
              <w:jc w:val="left"/>
              <w:rPr/>
            </w:pPr>
            <w:r>
              <w:rPr/>
              <w:t>Tom Sepenzis</w:t>
            </w:r>
          </w:p>
        </w:tc>
        <w:tc>
          <w:tcPr>
            <w:tcW w:w="122" w:type="dxa"/>
            <w:tcBorders/>
            <w:vAlign w:val="bottom"/>
          </w:tcPr>
          <w:p>
            <w:pPr>
              <w:pStyle w:val="TableContents"/>
              <w:bidi w:val="0"/>
              <w:spacing w:before="0" w:after="283"/>
              <w:jc w:val="left"/>
              <w:rPr/>
            </w:pPr>
            <w:r>
              <w:rPr/>
              <w:t>  </w:t>
            </w:r>
          </w:p>
        </w:tc>
        <w:tc>
          <w:tcPr>
            <w:tcW w:w="4646" w:type="dxa"/>
            <w:tcBorders/>
          </w:tcPr>
          <w:p>
            <w:pPr>
              <w:pStyle w:val="TableContents"/>
              <w:bidi w:val="0"/>
              <w:spacing w:before="0" w:after="283"/>
              <w:jc w:val="left"/>
              <w:rPr/>
            </w:pPr>
            <w:r>
              <w:rPr/>
              <w:t>Selina Hsieh</w:t>
            </w:r>
          </w:p>
        </w:tc>
      </w:tr>
      <w:tr>
        <w:trPr/>
        <w:tc>
          <w:tcPr>
            <w:tcW w:w="5437" w:type="dxa"/>
            <w:tcBorders/>
          </w:tcPr>
          <w:p>
            <w:pPr>
              <w:pStyle w:val="TableContents"/>
              <w:bidi w:val="0"/>
              <w:spacing w:before="0" w:after="283"/>
              <w:jc w:val="left"/>
              <w:rPr/>
            </w:pPr>
            <w:r>
              <w:rPr/>
              <w:t>Vice President of Investor Relations &amp; Strategy</w:t>
            </w:r>
          </w:p>
        </w:tc>
        <w:tc>
          <w:tcPr>
            <w:tcW w:w="122" w:type="dxa"/>
            <w:tcBorders/>
            <w:vAlign w:val="bottom"/>
          </w:tcPr>
          <w:p>
            <w:pPr>
              <w:pStyle w:val="TableContents"/>
              <w:bidi w:val="0"/>
              <w:spacing w:before="0" w:after="283"/>
              <w:jc w:val="left"/>
              <w:rPr/>
            </w:pPr>
            <w:r>
              <w:rPr/>
              <w:t>  </w:t>
            </w:r>
          </w:p>
        </w:tc>
        <w:tc>
          <w:tcPr>
            <w:tcW w:w="4646" w:type="dxa"/>
            <w:tcBorders/>
          </w:tcPr>
          <w:p>
            <w:pPr>
              <w:pStyle w:val="TableContents"/>
              <w:bidi w:val="0"/>
              <w:spacing w:before="0" w:after="283"/>
              <w:jc w:val="left"/>
              <w:rPr/>
            </w:pPr>
            <w:r>
              <w:rPr/>
              <w:t>Investor Relations</w:t>
            </w:r>
          </w:p>
        </w:tc>
      </w:tr>
      <w:tr>
        <w:trPr/>
        <w:tc>
          <w:tcPr>
            <w:tcW w:w="5437" w:type="dxa"/>
            <w:tcBorders/>
          </w:tcPr>
          <w:p>
            <w:pPr>
              <w:pStyle w:val="TableContents"/>
              <w:bidi w:val="0"/>
              <w:spacing w:before="0" w:after="283"/>
              <w:jc w:val="left"/>
              <w:rPr/>
            </w:pPr>
            <w:r>
              <w:rPr/>
              <w:t xml:space="preserve">E-mail: </w:t>
            </w:r>
            <w:r>
              <w:rPr>
                <w:u w:val="single"/>
              </w:rPr>
              <w:t>tsepenzis@siliconmotion.com</w:t>
            </w:r>
          </w:p>
        </w:tc>
        <w:tc>
          <w:tcPr>
            <w:tcW w:w="122" w:type="dxa"/>
            <w:tcBorders/>
            <w:vAlign w:val="bottom"/>
          </w:tcPr>
          <w:p>
            <w:pPr>
              <w:pStyle w:val="TableContents"/>
              <w:bidi w:val="0"/>
              <w:spacing w:before="0" w:after="283"/>
              <w:jc w:val="left"/>
              <w:rPr/>
            </w:pPr>
            <w:r>
              <w:rPr/>
              <w:t>  </w:t>
            </w:r>
          </w:p>
        </w:tc>
        <w:tc>
          <w:tcPr>
            <w:tcW w:w="4646" w:type="dxa"/>
            <w:tcBorders/>
          </w:tcPr>
          <w:p>
            <w:pPr>
              <w:pStyle w:val="TableContents"/>
              <w:bidi w:val="0"/>
              <w:spacing w:before="0" w:after="283"/>
              <w:jc w:val="left"/>
              <w:rPr/>
            </w:pPr>
            <w:r>
              <w:rPr/>
              <w:t>E-mail: ir@siliconmotion.com</w:t>
            </w:r>
          </w:p>
        </w:tc>
      </w:tr>
      <w:tr>
        <w:trPr>
          <w:trHeight w:val="240" w:hRule="atLeast"/>
        </w:trPr>
        <w:tc>
          <w:tcPr>
            <w:tcW w:w="5437" w:type="dxa"/>
            <w:tcBorders/>
            <w:vAlign w:val="center"/>
          </w:tcPr>
          <w:p>
            <w:pPr>
              <w:pStyle w:val="TableContents"/>
              <w:bidi w:val="0"/>
              <w:spacing w:before="0" w:after="283"/>
              <w:jc w:val="left"/>
              <w:rPr>
                <w:sz w:val="4"/>
                <w:szCs w:val="4"/>
              </w:rPr>
            </w:pPr>
            <w:r>
              <w:rPr>
                <w:sz w:val="4"/>
                <w:szCs w:val="4"/>
              </w:rPr>
            </w:r>
          </w:p>
        </w:tc>
        <w:tc>
          <w:tcPr>
            <w:tcW w:w="4768" w:type="dxa"/>
            <w:gridSpan w:val="2"/>
            <w:tcBorders/>
            <w:vAlign w:val="center"/>
          </w:tcPr>
          <w:p>
            <w:pPr>
              <w:pStyle w:val="TableContents"/>
              <w:bidi w:val="0"/>
              <w:spacing w:before="0" w:after="283"/>
              <w:jc w:val="left"/>
              <w:rPr>
                <w:sz w:val="4"/>
                <w:szCs w:val="4"/>
              </w:rPr>
            </w:pPr>
            <w:r>
              <w:rPr>
                <w:sz w:val="4"/>
                <w:szCs w:val="4"/>
              </w:rPr>
            </w:r>
          </w:p>
        </w:tc>
      </w:tr>
      <w:tr>
        <w:trPr/>
        <w:tc>
          <w:tcPr>
            <w:tcW w:w="5437" w:type="dxa"/>
            <w:tcBorders/>
          </w:tcPr>
          <w:p>
            <w:pPr>
              <w:pStyle w:val="TableContents"/>
              <w:bidi w:val="0"/>
              <w:spacing w:before="0" w:after="283"/>
              <w:jc w:val="left"/>
              <w:rPr>
                <w:b/>
              </w:rPr>
            </w:pPr>
            <w:r>
              <w:rPr>
                <w:b/>
              </w:rPr>
              <w:t>Media Contact:</w:t>
            </w:r>
          </w:p>
        </w:tc>
        <w:tc>
          <w:tcPr>
            <w:tcW w:w="122" w:type="dxa"/>
            <w:tcBorders/>
            <w:vAlign w:val="bottom"/>
          </w:tcPr>
          <w:p>
            <w:pPr>
              <w:pStyle w:val="TableContents"/>
              <w:bidi w:val="0"/>
              <w:spacing w:before="0" w:after="283"/>
              <w:jc w:val="left"/>
              <w:rPr/>
            </w:pPr>
            <w:r>
              <w:rPr/>
              <w:t>  </w:t>
            </w:r>
          </w:p>
        </w:tc>
        <w:tc>
          <w:tcPr>
            <w:tcW w:w="4646" w:type="dxa"/>
            <w:tcBorders/>
          </w:tcPr>
          <w:p>
            <w:pPr>
              <w:pStyle w:val="TableContents"/>
              <w:bidi w:val="0"/>
              <w:spacing w:before="0" w:after="283"/>
              <w:jc w:val="left"/>
              <w:rPr>
                <w:sz w:val="4"/>
                <w:szCs w:val="4"/>
              </w:rPr>
            </w:pPr>
            <w:r>
              <w:rPr>
                <w:sz w:val="4"/>
                <w:szCs w:val="4"/>
              </w:rPr>
            </w:r>
          </w:p>
        </w:tc>
      </w:tr>
      <w:tr>
        <w:trPr>
          <w:trHeight w:val="120" w:hRule="atLeast"/>
        </w:trPr>
        <w:tc>
          <w:tcPr>
            <w:tcW w:w="5437" w:type="dxa"/>
            <w:tcBorders/>
            <w:vAlign w:val="center"/>
          </w:tcPr>
          <w:p>
            <w:pPr>
              <w:pStyle w:val="TableContents"/>
              <w:bidi w:val="0"/>
              <w:spacing w:before="0" w:after="283"/>
              <w:jc w:val="left"/>
              <w:rPr>
                <w:sz w:val="4"/>
                <w:szCs w:val="4"/>
              </w:rPr>
            </w:pPr>
            <w:r>
              <w:rPr>
                <w:sz w:val="4"/>
                <w:szCs w:val="4"/>
              </w:rPr>
            </w:r>
          </w:p>
        </w:tc>
        <w:tc>
          <w:tcPr>
            <w:tcW w:w="4768" w:type="dxa"/>
            <w:gridSpan w:val="2"/>
            <w:tcBorders/>
            <w:vAlign w:val="center"/>
          </w:tcPr>
          <w:p>
            <w:pPr>
              <w:pStyle w:val="TableContents"/>
              <w:bidi w:val="0"/>
              <w:spacing w:before="0" w:after="283"/>
              <w:jc w:val="left"/>
              <w:rPr>
                <w:sz w:val="4"/>
                <w:szCs w:val="4"/>
              </w:rPr>
            </w:pPr>
            <w:r>
              <w:rPr>
                <w:sz w:val="4"/>
                <w:szCs w:val="4"/>
              </w:rPr>
            </w:r>
          </w:p>
        </w:tc>
      </w:tr>
      <w:tr>
        <w:trPr/>
        <w:tc>
          <w:tcPr>
            <w:tcW w:w="5437" w:type="dxa"/>
            <w:tcBorders/>
          </w:tcPr>
          <w:p>
            <w:pPr>
              <w:pStyle w:val="TableContents"/>
              <w:bidi w:val="0"/>
              <w:spacing w:before="0" w:after="283"/>
              <w:jc w:val="left"/>
              <w:rPr/>
            </w:pPr>
            <w:r>
              <w:rPr/>
              <w:t>Minnie Lin</w:t>
            </w:r>
          </w:p>
        </w:tc>
        <w:tc>
          <w:tcPr>
            <w:tcW w:w="122" w:type="dxa"/>
            <w:tcBorders/>
            <w:vAlign w:val="bottom"/>
          </w:tcPr>
          <w:p>
            <w:pPr>
              <w:pStyle w:val="TableContents"/>
              <w:bidi w:val="0"/>
              <w:spacing w:before="0" w:after="283"/>
              <w:jc w:val="left"/>
              <w:rPr/>
            </w:pPr>
            <w:r>
              <w:rPr/>
              <w:t>  </w:t>
            </w:r>
          </w:p>
        </w:tc>
        <w:tc>
          <w:tcPr>
            <w:tcW w:w="4646" w:type="dxa"/>
            <w:tcBorders/>
          </w:tcPr>
          <w:p>
            <w:pPr>
              <w:pStyle w:val="TableContents"/>
              <w:bidi w:val="0"/>
              <w:spacing w:before="0" w:after="283"/>
              <w:jc w:val="left"/>
              <w:rPr>
                <w:sz w:val="4"/>
                <w:szCs w:val="4"/>
              </w:rPr>
            </w:pPr>
            <w:r>
              <w:rPr>
                <w:sz w:val="4"/>
                <w:szCs w:val="4"/>
              </w:rPr>
            </w:r>
          </w:p>
        </w:tc>
      </w:tr>
      <w:tr>
        <w:trPr/>
        <w:tc>
          <w:tcPr>
            <w:tcW w:w="5437" w:type="dxa"/>
            <w:tcBorders/>
          </w:tcPr>
          <w:p>
            <w:pPr>
              <w:pStyle w:val="TableContents"/>
              <w:bidi w:val="0"/>
              <w:spacing w:before="0" w:after="283"/>
              <w:jc w:val="left"/>
              <w:rPr/>
            </w:pPr>
            <w:r>
              <w:rPr/>
              <w:t>Director of Marketing Communication Department</w:t>
            </w:r>
          </w:p>
        </w:tc>
        <w:tc>
          <w:tcPr>
            <w:tcW w:w="122" w:type="dxa"/>
            <w:tcBorders/>
            <w:vAlign w:val="bottom"/>
          </w:tcPr>
          <w:p>
            <w:pPr>
              <w:pStyle w:val="TableContents"/>
              <w:bidi w:val="0"/>
              <w:spacing w:before="0" w:after="283"/>
              <w:jc w:val="left"/>
              <w:rPr/>
            </w:pPr>
            <w:r>
              <w:rPr/>
              <w:t>  </w:t>
            </w:r>
          </w:p>
        </w:tc>
        <w:tc>
          <w:tcPr>
            <w:tcW w:w="4646" w:type="dxa"/>
            <w:tcBorders/>
          </w:tcPr>
          <w:p>
            <w:pPr>
              <w:pStyle w:val="TableContents"/>
              <w:bidi w:val="0"/>
              <w:spacing w:before="0" w:after="283"/>
              <w:jc w:val="left"/>
              <w:rPr>
                <w:sz w:val="4"/>
                <w:szCs w:val="4"/>
              </w:rPr>
            </w:pPr>
            <w:r>
              <w:rPr>
                <w:sz w:val="4"/>
                <w:szCs w:val="4"/>
              </w:rPr>
            </w:r>
          </w:p>
        </w:tc>
      </w:tr>
      <w:tr>
        <w:trPr/>
        <w:tc>
          <w:tcPr>
            <w:tcW w:w="5437" w:type="dxa"/>
            <w:tcBorders/>
          </w:tcPr>
          <w:p>
            <w:pPr>
              <w:pStyle w:val="TableContents"/>
              <w:bidi w:val="0"/>
              <w:spacing w:before="0" w:after="283"/>
              <w:jc w:val="left"/>
              <w:rPr/>
            </w:pPr>
            <w:r>
              <w:rPr/>
              <w:t xml:space="preserve">E-mail: </w:t>
            </w:r>
            <w:r>
              <w:rPr>
                <w:u w:val="single"/>
              </w:rPr>
              <w:t>minnie.lin@siliconmotion.com</w:t>
            </w:r>
          </w:p>
        </w:tc>
        <w:tc>
          <w:tcPr>
            <w:tcW w:w="122" w:type="dxa"/>
            <w:tcBorders/>
            <w:vAlign w:val="bottom"/>
          </w:tcPr>
          <w:p>
            <w:pPr>
              <w:pStyle w:val="TableContents"/>
              <w:bidi w:val="0"/>
              <w:spacing w:before="0" w:after="283"/>
              <w:jc w:val="left"/>
              <w:rPr/>
            </w:pPr>
            <w:r>
              <w:rPr/>
              <w:t>  </w:t>
            </w:r>
          </w:p>
        </w:tc>
        <w:tc>
          <w:tcPr>
            <w:tcW w:w="4646"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1274</Words>
  <Characters>7092</Characters>
  <CharactersWithSpaces>8396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