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64770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71120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4" w:lineRule="exact"/>
        <w:rPr>
          <w:sz w:val="24"/>
          <w:szCs w:val="24"/>
          <w:color w:val="auto"/>
        </w:rPr>
      </w:pPr>
    </w:p>
    <w:p>
      <w:pPr>
        <w:ind w:left="600" w:hanging="424"/>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5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4320" w:right="3460" w:hanging="4144"/>
        <w:spacing w:after="0" w:line="301" w:lineRule="auto"/>
        <w:tabs>
          <w:tab w:leader="none" w:pos="60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4"/>
          <w:szCs w:val="14"/>
          <w:color w:val="auto"/>
        </w:rPr>
      </w:pPr>
    </w:p>
    <w:p>
      <w:pPr>
        <w:ind w:left="55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5580" w:right="3160" w:hanging="5404"/>
        <w:spacing w:after="0" w:line="289" w:lineRule="auto"/>
        <w:tabs>
          <w:tab w:leader="none" w:pos="612"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OR</w:t>
      </w:r>
    </w:p>
    <w:p>
      <w:pPr>
        <w:spacing w:after="0" w:line="3" w:lineRule="exact"/>
        <w:rPr>
          <w:rFonts w:ascii="MS PGothic" w:cs="MS PGothic" w:eastAsia="MS PGothic" w:hAnsi="MS PGothic"/>
          <w:sz w:val="14"/>
          <w:szCs w:val="14"/>
          <w:color w:val="auto"/>
        </w:rPr>
      </w:pPr>
    </w:p>
    <w:p>
      <w:pPr>
        <w:ind w:left="600" w:hanging="424"/>
        <w:spacing w:after="0"/>
        <w:tabs>
          <w:tab w:leader="none" w:pos="60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55"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requiring this shell company report: N/A</w:t>
      </w:r>
    </w:p>
    <w:p>
      <w:pPr>
        <w:spacing w:after="0" w:line="28" w:lineRule="exact"/>
        <w:rPr>
          <w:sz w:val="24"/>
          <w:szCs w:val="24"/>
          <w:color w:val="auto"/>
        </w:rPr>
      </w:pPr>
    </w:p>
    <w:p>
      <w:pPr>
        <w:ind w:left="392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3693160</wp:posOffset>
            </wp:positionH>
            <wp:positionV relativeFrom="paragraph">
              <wp:posOffset>-1270</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83820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0"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Silicon Motion Technology Corporation</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64770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Cayman Islands</w:t>
      </w:r>
    </w:p>
    <w:p>
      <w:pPr>
        <w:jc w:val="center"/>
        <w:ind w:right="-259"/>
        <w:spacing w:after="0" w:line="226"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259"/>
        <w:spacing w:after="0" w:line="221" w:lineRule="auto"/>
        <w:rPr>
          <w:sz w:val="20"/>
          <w:szCs w:val="20"/>
          <w:color w:val="auto"/>
        </w:rPr>
      </w:pPr>
      <w:r>
        <w:rPr>
          <w:rFonts w:ascii="Arial" w:cs="Arial" w:eastAsia="Arial" w:hAnsi="Arial"/>
          <w:sz w:val="14"/>
          <w:szCs w:val="14"/>
          <w:b w:val="1"/>
          <w:bCs w:val="1"/>
          <w:color w:val="auto"/>
        </w:rPr>
        <w:t>Flat C, 19/F, Wing Cheong Commercial Building</w:t>
      </w:r>
    </w:p>
    <w:p>
      <w:pPr>
        <w:jc w:val="center"/>
        <w:ind w:right="-259"/>
        <w:spacing w:after="0" w:line="222" w:lineRule="auto"/>
        <w:rPr>
          <w:sz w:val="20"/>
          <w:szCs w:val="20"/>
          <w:color w:val="auto"/>
        </w:rPr>
      </w:pPr>
      <w:r>
        <w:rPr>
          <w:rFonts w:ascii="Arial" w:cs="Arial" w:eastAsia="Arial" w:hAnsi="Arial"/>
          <w:sz w:val="14"/>
          <w:szCs w:val="14"/>
          <w:b w:val="1"/>
          <w:bCs w:val="1"/>
          <w:color w:val="auto"/>
        </w:rPr>
        <w:t>Nos 19-25 Jervois Street, Hong Kong Island</w:t>
      </w:r>
    </w:p>
    <w:p>
      <w:pPr>
        <w:jc w:val="center"/>
        <w:ind w:right="-259"/>
        <w:spacing w:after="0" w:line="221" w:lineRule="auto"/>
        <w:rPr>
          <w:sz w:val="20"/>
          <w:szCs w:val="20"/>
          <w:color w:val="auto"/>
        </w:rPr>
      </w:pPr>
      <w:r>
        <w:rPr>
          <w:rFonts w:ascii="Arial" w:cs="Arial" w:eastAsia="Arial" w:hAnsi="Arial"/>
          <w:sz w:val="14"/>
          <w:szCs w:val="14"/>
          <w:b w:val="1"/>
          <w:bCs w:val="1"/>
          <w:color w:val="auto"/>
        </w:rPr>
        <w:t>Hong Kong</w:t>
      </w:r>
    </w:p>
    <w:p>
      <w:pPr>
        <w:jc w:val="center"/>
        <w:ind w:right="-259"/>
        <w:spacing w:after="0" w:line="222" w:lineRule="auto"/>
        <w:rPr>
          <w:sz w:val="20"/>
          <w:szCs w:val="20"/>
          <w:color w:val="auto"/>
        </w:rPr>
      </w:pPr>
      <w:r>
        <w:rPr>
          <w:rFonts w:ascii="Arial" w:cs="Arial" w:eastAsia="Arial" w:hAnsi="Arial"/>
          <w:sz w:val="14"/>
          <w:szCs w:val="14"/>
          <w:b w:val="1"/>
          <w:bCs w:val="1"/>
          <w:color w:val="auto"/>
        </w:rPr>
        <w:t>Tel: +852 2307 4768</w:t>
      </w:r>
    </w:p>
    <w:p>
      <w:pPr>
        <w:jc w:val="center"/>
        <w:ind w:right="-2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64770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Riyadh Lai, Chief Financial Officer</w:t>
      </w:r>
    </w:p>
    <w:p>
      <w:pPr>
        <w:jc w:val="center"/>
        <w:ind w:right="-259"/>
        <w:spacing w:after="0" w:line="226" w:lineRule="auto"/>
        <w:rPr>
          <w:sz w:val="20"/>
          <w:szCs w:val="20"/>
          <w:color w:val="auto"/>
        </w:rPr>
      </w:pPr>
      <w:r>
        <w:rPr>
          <w:rFonts w:ascii="Arial" w:cs="Arial" w:eastAsia="Arial" w:hAnsi="Arial"/>
          <w:sz w:val="14"/>
          <w:szCs w:val="14"/>
          <w:b w:val="1"/>
          <w:bCs w:val="1"/>
          <w:color w:val="auto"/>
        </w:rPr>
        <w:t>Tel: +1 408 519 7200 / Fax: +1 408 519 7101</w:t>
      </w:r>
    </w:p>
    <w:p>
      <w:pPr>
        <w:jc w:val="center"/>
        <w:ind w:right="-259"/>
        <w:spacing w:after="0" w:line="221" w:lineRule="auto"/>
        <w:rPr>
          <w:sz w:val="20"/>
          <w:szCs w:val="20"/>
          <w:color w:val="auto"/>
        </w:rPr>
      </w:pPr>
      <w:r>
        <w:rPr>
          <w:rFonts w:ascii="Arial" w:cs="Arial" w:eastAsia="Arial" w:hAnsi="Arial"/>
          <w:sz w:val="14"/>
          <w:szCs w:val="14"/>
          <w:b w:val="1"/>
          <w:bCs w:val="1"/>
          <w:color w:val="auto"/>
        </w:rPr>
        <w:t>690 N. McCarthy Blvd. Suite 200,</w:t>
      </w:r>
    </w:p>
    <w:p>
      <w:pPr>
        <w:jc w:val="center"/>
        <w:ind w:right="-259"/>
        <w:spacing w:after="0" w:line="222" w:lineRule="auto"/>
        <w:rPr>
          <w:sz w:val="20"/>
          <w:szCs w:val="20"/>
          <w:color w:val="auto"/>
        </w:rPr>
      </w:pPr>
      <w:r>
        <w:rPr>
          <w:rFonts w:ascii="Arial" w:cs="Arial" w:eastAsia="Arial" w:hAnsi="Arial"/>
          <w:sz w:val="14"/>
          <w:szCs w:val="14"/>
          <w:b w:val="1"/>
          <w:bCs w:val="1"/>
          <w:color w:val="auto"/>
        </w:rPr>
        <w:t>Milpitas, CA 95035, USA</w:t>
      </w:r>
    </w:p>
    <w:p>
      <w:pPr>
        <w:jc w:val="center"/>
        <w:ind w:right="-25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64770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tbl>
      <w:tblPr>
        <w:tblLayout w:type="fixed"/>
        <w:tblInd w:w="800" w:type="dxa"/>
        <w:tblCellMar>
          <w:top w:w="0" w:type="dxa"/>
          <w:left w:w="0" w:type="dxa"/>
          <w:bottom w:w="0" w:type="dxa"/>
          <w:right w:w="0" w:type="dxa"/>
        </w:tblCellMar>
      </w:tblPr>
      <w:tr>
        <w:trPr>
          <w:trHeight w:val="159"/>
        </w:trPr>
        <w:tc>
          <w:tcPr>
            <w:tcW w:w="920" w:type="dxa"/>
            <w:vAlign w:val="bottom"/>
          </w:tcPr>
          <w:p>
            <w:pPr>
              <w:spacing w:after="0"/>
              <w:rPr>
                <w:sz w:val="13"/>
                <w:szCs w:val="13"/>
                <w:color w:val="auto"/>
              </w:rPr>
            </w:pPr>
          </w:p>
        </w:tc>
        <w:tc>
          <w:tcPr>
            <w:tcW w:w="3460" w:type="dxa"/>
            <w:vAlign w:val="bottom"/>
            <w:gridSpan w:val="2"/>
          </w:tcPr>
          <w:p>
            <w:pPr>
              <w:jc w:val="center"/>
              <w:ind w:right="2308"/>
              <w:spacing w:after="0" w:line="159" w:lineRule="exact"/>
              <w:rPr>
                <w:sz w:val="20"/>
                <w:szCs w:val="20"/>
                <w:color w:val="auto"/>
              </w:rPr>
            </w:pPr>
            <w:r>
              <w:rPr>
                <w:rFonts w:ascii="Arial" w:cs="Arial" w:eastAsia="Arial" w:hAnsi="Arial"/>
                <w:sz w:val="14"/>
                <w:szCs w:val="14"/>
                <w:b w:val="1"/>
                <w:bCs w:val="1"/>
                <w:color w:val="auto"/>
                <w:w w:val="89"/>
              </w:rPr>
              <w:t>Title of each class</w:t>
            </w: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Trading Symbol(s)</w:t>
            </w:r>
          </w:p>
        </w:tc>
        <w:tc>
          <w:tcPr>
            <w:tcW w:w="4160" w:type="dxa"/>
            <w:vAlign w:val="bottom"/>
            <w:gridSpan w:val="3"/>
          </w:tcPr>
          <w:p>
            <w:pPr>
              <w:jc w:val="center"/>
              <w:ind w:left="1408"/>
              <w:spacing w:after="0" w:line="159" w:lineRule="exact"/>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380" w:type="dxa"/>
            <w:vAlign w:val="bottom"/>
            <w:vMerge w:val="restart"/>
          </w:tcPr>
          <w:p>
            <w:pPr>
              <w:spacing w:after="0" w:line="139" w:lineRule="exact"/>
              <w:rPr>
                <w:sz w:val="20"/>
                <w:szCs w:val="20"/>
                <w:color w:val="auto"/>
              </w:rPr>
            </w:pPr>
            <w:r>
              <w:rPr>
                <w:rFonts w:ascii="Arial" w:cs="Arial" w:eastAsia="Arial" w:hAnsi="Arial"/>
                <w:sz w:val="14"/>
                <w:szCs w:val="14"/>
                <w:b w:val="1"/>
                <w:bCs w:val="1"/>
                <w:color w:val="auto"/>
              </w:rPr>
              <w:t>0.01 per share*</w:t>
            </w:r>
          </w:p>
        </w:tc>
        <w:tc>
          <w:tcPr>
            <w:tcW w:w="11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Ordinary shares, par value US$</w:t>
            </w:r>
          </w:p>
        </w:tc>
        <w:tc>
          <w:tcPr>
            <w:tcW w:w="2380" w:type="dxa"/>
            <w:vAlign w:val="bottom"/>
            <w:vMerge w:val="continue"/>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SIMO</w:t>
            </w:r>
          </w:p>
        </w:tc>
        <w:tc>
          <w:tcPr>
            <w:tcW w:w="1500" w:type="dxa"/>
            <w:vAlign w:val="bottom"/>
          </w:tcPr>
          <w:p>
            <w:pPr>
              <w:spacing w:after="0"/>
              <w:rPr>
                <w:sz w:val="10"/>
                <w:szCs w:val="10"/>
                <w:color w:val="auto"/>
              </w:rPr>
            </w:pPr>
          </w:p>
        </w:tc>
        <w:tc>
          <w:tcPr>
            <w:tcW w:w="26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Nasdaq Global Select Market</w:t>
            </w:r>
          </w:p>
        </w:tc>
        <w:tc>
          <w:tcPr>
            <w:tcW w:w="0" w:type="dxa"/>
            <w:vAlign w:val="bottom"/>
          </w:tcPr>
          <w:p>
            <w:pPr>
              <w:spacing w:after="0"/>
              <w:rPr>
                <w:sz w:val="1"/>
                <w:szCs w:val="1"/>
                <w:color w:val="auto"/>
              </w:rPr>
            </w:pPr>
          </w:p>
        </w:tc>
      </w:tr>
      <w:tr>
        <w:trPr>
          <w:trHeight w:val="148"/>
        </w:trPr>
        <w:tc>
          <w:tcPr>
            <w:tcW w:w="4380" w:type="dxa"/>
            <w:vAlign w:val="bottom"/>
            <w:gridSpan w:val="3"/>
          </w:tcPr>
          <w:p>
            <w:pPr>
              <w:jc w:val="center"/>
              <w:ind w:right="1388"/>
              <w:spacing w:after="0" w:line="149" w:lineRule="exact"/>
              <w:rPr>
                <w:sz w:val="20"/>
                <w:szCs w:val="20"/>
                <w:color w:val="auto"/>
              </w:rPr>
            </w:pPr>
            <w:r>
              <w:rPr>
                <w:rFonts w:ascii="Arial" w:cs="Arial" w:eastAsia="Arial" w:hAnsi="Arial"/>
                <w:sz w:val="14"/>
                <w:szCs w:val="14"/>
                <w:b w:val="1"/>
                <w:bCs w:val="1"/>
                <w:color w:val="auto"/>
                <w:w w:val="91"/>
              </w:rPr>
              <w:t>American Depositary Shares, each representing</w:t>
            </w: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80" w:type="dxa"/>
            <w:vAlign w:val="bottom"/>
            <w:gridSpan w:val="3"/>
          </w:tcPr>
          <w:p>
            <w:pPr>
              <w:jc w:val="center"/>
              <w:ind w:right="1368"/>
              <w:spacing w:after="0"/>
              <w:rPr>
                <w:sz w:val="20"/>
                <w:szCs w:val="20"/>
                <w:color w:val="auto"/>
              </w:rPr>
            </w:pPr>
            <w:r>
              <w:rPr>
                <w:rFonts w:ascii="Arial" w:cs="Arial" w:eastAsia="Arial" w:hAnsi="Arial"/>
                <w:sz w:val="14"/>
                <w:szCs w:val="14"/>
                <w:b w:val="1"/>
                <w:bCs w:val="1"/>
                <w:color w:val="auto"/>
                <w:w w:val="92"/>
              </w:rPr>
              <w:t>four ordinary shares</w:t>
            </w:r>
          </w:p>
        </w:tc>
        <w:tc>
          <w:tcPr>
            <w:tcW w:w="1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0" w:hanging="224"/>
        <w:spacing w:after="0"/>
        <w:tabs>
          <w:tab w:leader="none" w:pos="4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Not for trading, but only in connection with the listing on the Nasdaq Global Select Market of American Depositary Shares, or ADSs, each representing four ordinary shares.</w:t>
      </w:r>
    </w:p>
    <w:p>
      <w:pPr>
        <w:spacing w:after="0" w:line="4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None</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Securities registered or to be registered pursuant to Section 15(d) of the Act:</w:t>
      </w:r>
    </w:p>
    <w:p>
      <w:pPr>
        <w:jc w:val="center"/>
        <w:ind w:right="-25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64770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04" w:lineRule="exact"/>
        <w:rPr>
          <w:sz w:val="24"/>
          <w:szCs w:val="24"/>
          <w:color w:val="auto"/>
        </w:rPr>
      </w:pPr>
    </w:p>
    <w:p>
      <w:pPr>
        <w:ind w:left="180" w:right="100" w:firstLine="440"/>
        <w:spacing w:after="0" w:line="246"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139,763,928 ordinary shares as of December 31, 2021, US$0.01 par value per share.</w:t>
      </w:r>
    </w:p>
    <w:p>
      <w:pPr>
        <w:spacing w:after="0" w:line="1" w:lineRule="exact"/>
        <w:rPr>
          <w:sz w:val="24"/>
          <w:szCs w:val="24"/>
          <w:color w:val="auto"/>
        </w:rPr>
      </w:pPr>
    </w:p>
    <w:p>
      <w:pPr>
        <w:ind w:left="620"/>
        <w:spacing w:after="0" w:line="161" w:lineRule="exact"/>
        <w:tabs>
          <w:tab w:leader="none" w:pos="7480" w:val="left"/>
          <w:tab w:leader="none" w:pos="804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180" w:right="60" w:firstLine="44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Section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80" w:right="460" w:firstLine="440"/>
        <w:spacing w:after="0" w:line="17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180" w:right="10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180" w:right="20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100"/>
          </w:cols>
          <w:pgMar w:left="260" w:top="230" w:right="539" w:bottom="1440" w:gutter="0" w:footer="0" w:header="0"/>
        </w:sectPr>
      </w:pPr>
    </w:p>
    <w:p>
      <w:pPr>
        <w:spacing w:after="0" w:line="34" w:lineRule="exact"/>
        <w:rPr>
          <w:sz w:val="24"/>
          <w:szCs w:val="24"/>
          <w:color w:val="auto"/>
        </w:rPr>
      </w:pPr>
    </w:p>
    <w:p>
      <w:pPr>
        <w:ind w:left="1060"/>
        <w:spacing w:after="0"/>
        <w:rPr>
          <w:sz w:val="20"/>
          <w:szCs w:val="20"/>
          <w:color w:val="auto"/>
        </w:rPr>
      </w:pPr>
      <w:r>
        <w:rPr>
          <w:rFonts w:ascii="Arial" w:cs="Arial" w:eastAsia="Arial" w:hAnsi="Arial"/>
          <w:sz w:val="13"/>
          <w:szCs w:val="13"/>
          <w:color w:val="auto"/>
        </w:rPr>
        <w:t>Large accelerated filer</w:t>
      </w:r>
    </w:p>
    <w:p>
      <w:pPr>
        <w:spacing w:after="0" w:line="33" w:lineRule="exact"/>
        <w:rPr>
          <w:sz w:val="24"/>
          <w:szCs w:val="24"/>
          <w:color w:val="auto"/>
        </w:rPr>
      </w:pPr>
    </w:p>
    <w:p>
      <w:pPr>
        <w:ind w:left="10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1" w:lineRule="exact"/>
        <w:rPr>
          <w:sz w:val="24"/>
          <w:szCs w:val="24"/>
          <w:color w:val="auto"/>
        </w:rPr>
      </w:pPr>
    </w:p>
    <w:p>
      <w:pPr>
        <w:sectPr>
          <w:pgSz w:w="11900" w:h="16838" w:orient="portrait"/>
          <w:cols w:equalWidth="0" w:num="4">
            <w:col w:w="4920" w:space="720"/>
            <w:col w:w="120" w:space="180"/>
            <w:col w:w="3520" w:space="720"/>
            <w:col w:w="920"/>
          </w:cols>
          <w:pgMar w:left="260" w:top="230" w:right="539" w:bottom="1440" w:gutter="0" w:footer="0" w:header="0"/>
          <w:type w:val="continuous"/>
        </w:sectPr>
      </w:pPr>
    </w:p>
    <w:p>
      <w:pPr>
        <w:ind w:left="180" w:right="320" w:firstLine="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180" w:right="14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180" w:right="200" w:firstLine="436"/>
        <w:spacing w:after="0" w:line="246" w:lineRule="auto"/>
        <w:tabs>
          <w:tab w:leader="none" w:pos="72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ind w:left="620"/>
        <w:spacing w:after="0"/>
        <w:rPr>
          <w:rFonts w:ascii="Arial" w:cs="Arial" w:eastAsia="Arial" w:hAnsi="Arial"/>
          <w:sz w:val="14"/>
          <w:szCs w:val="14"/>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14"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114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5460" w:type="dxa"/>
            <w:vAlign w:val="bottom"/>
          </w:tcPr>
          <w:p>
            <w:pPr>
              <w:ind w:left="260"/>
              <w:spacing w:after="0"/>
              <w:rPr>
                <w:sz w:val="20"/>
                <w:szCs w:val="20"/>
                <w:color w:val="auto"/>
              </w:rPr>
            </w:pPr>
            <w:r>
              <w:rPr>
                <w:rFonts w:ascii="Arial" w:cs="Arial" w:eastAsia="Arial" w:hAnsi="Arial"/>
                <w:sz w:val="14"/>
                <w:szCs w:val="14"/>
                <w:color w:val="auto"/>
              </w:rPr>
              <w:t>International Financial Reporting Standards as issued</w:t>
            </w:r>
          </w:p>
        </w:tc>
        <w:tc>
          <w:tcPr>
            <w:tcW w:w="2640" w:type="dxa"/>
            <w:vAlign w:val="bottom"/>
            <w:vMerge w:val="restart"/>
          </w:tcPr>
          <w:p>
            <w:pPr>
              <w:ind w:left="2120"/>
              <w:spacing w:after="0" w:line="161" w:lineRule="exact"/>
              <w:rPr>
                <w:sz w:val="20"/>
                <w:szCs w:val="20"/>
                <w:color w:val="auto"/>
              </w:rPr>
            </w:pPr>
            <w:r>
              <w:rPr>
                <w:rFonts w:ascii="Arial" w:cs="Arial" w:eastAsia="Arial" w:hAnsi="Arial"/>
                <w:sz w:val="14"/>
                <w:szCs w:val="14"/>
                <w:color w:val="auto"/>
                <w:w w:val="94"/>
              </w:rPr>
              <w:t xml:space="preserve">Other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5460" w:type="dxa"/>
            <w:vAlign w:val="bottom"/>
          </w:tcPr>
          <w:p>
            <w:pPr>
              <w:ind w:left="260"/>
              <w:spacing w:after="0" w:line="161" w:lineRule="exact"/>
              <w:rPr>
                <w:sz w:val="20"/>
                <w:szCs w:val="20"/>
                <w:color w:val="auto"/>
              </w:rPr>
            </w:pPr>
            <w:r>
              <w:rPr>
                <w:rFonts w:ascii="Arial" w:cs="Arial" w:eastAsia="Arial" w:hAnsi="Arial"/>
                <w:sz w:val="14"/>
                <w:szCs w:val="14"/>
                <w:color w:val="auto"/>
              </w:rPr>
              <w:t xml:space="preserve">by the International Accounting Standards Board </w:t>
            </w:r>
            <w:r>
              <w:rPr>
                <w:rFonts w:ascii="MS PGothic" w:cs="MS PGothic" w:eastAsia="MS PGothic" w:hAnsi="MS PGothic"/>
                <w:sz w:val="14"/>
                <w:szCs w:val="14"/>
                <w:color w:val="auto"/>
              </w:rPr>
              <w:t>☐</w:t>
            </w: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620"/>
        <w:spacing w:after="0" w:line="213"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Arial" w:cs="Arial" w:eastAsia="Arial" w:hAnsi="Arial"/>
          <w:sz w:val="14"/>
          <w:szCs w:val="14"/>
          <w:color w:val="auto"/>
        </w:rPr>
        <w:t xml:space="preserve">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111760</wp:posOffset>
            </wp:positionH>
            <wp:positionV relativeFrom="paragraph">
              <wp:posOffset>41275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83820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260" w:top="230" w:right="5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99"/>
          </w:cols>
          <w:pgMar w:left="260" w:top="48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6"/>
          </w:tcPr>
          <w:p>
            <w:pPr>
              <w:ind w:left="48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20"/>
                <w:szCs w:val="20"/>
                <w:color w:val="auto"/>
              </w:rPr>
            </w:pPr>
          </w:p>
        </w:tc>
      </w:tr>
      <w:tr>
        <w:trPr>
          <w:trHeight w:val="418"/>
        </w:trPr>
        <w:tc>
          <w:tcPr>
            <w:tcW w:w="1620" w:type="dxa"/>
            <w:vAlign w:val="bottom"/>
            <w:gridSpan w:val="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796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w:t>
              </w:r>
              <w:r>
                <w:rPr>
                  <w:rFonts w:ascii="Arial" w:cs="Arial" w:eastAsia="Arial" w:hAnsi="Arial"/>
                  <w:sz w:val="14"/>
                  <w:szCs w:val="14"/>
                  <w:color w:val="0000EE"/>
                </w:rPr>
                <w:t>DENTITY OF</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S</w:t>
              </w:r>
              <w:r>
                <w:rPr>
                  <w:rFonts w:ascii="Arial" w:cs="Arial" w:eastAsia="Arial" w:hAnsi="Arial"/>
                  <w:sz w:val="14"/>
                  <w:szCs w:val="14"/>
                  <w:color w:val="0000EE"/>
                </w:rPr>
                <w:t>ENIOR</w:t>
              </w:r>
              <w:r>
                <w:rPr>
                  <w:rFonts w:ascii="Arial" w:cs="Arial" w:eastAsia="Arial" w:hAnsi="Arial"/>
                  <w:sz w:val="18"/>
                  <w:szCs w:val="18"/>
                  <w:color w:val="0000EE"/>
                </w:rPr>
                <w:t xml:space="preserve"> M</w:t>
              </w:r>
              <w:r>
                <w:rPr>
                  <w:rFonts w:ascii="Arial" w:cs="Arial" w:eastAsia="Arial" w:hAnsi="Arial"/>
                  <w:sz w:val="14"/>
                  <w:szCs w:val="14"/>
                  <w:color w:val="0000EE"/>
                </w:rPr>
                <w:t>ANAGEMENT AND</w:t>
              </w:r>
              <w:r>
                <w:rPr>
                  <w:rFonts w:ascii="Arial" w:cs="Arial" w:eastAsia="Arial" w:hAnsi="Arial"/>
                  <w:sz w:val="18"/>
                  <w:szCs w:val="18"/>
                  <w:color w:val="0000EE"/>
                </w:rPr>
                <w:t xml:space="preserve"> A</w:t>
              </w:r>
              <w:r>
                <w:rPr>
                  <w:rFonts w:ascii="Arial" w:cs="Arial" w:eastAsia="Arial" w:hAnsi="Arial"/>
                  <w:sz w:val="14"/>
                  <w:szCs w:val="14"/>
                  <w:color w:val="0000EE"/>
                </w:rPr>
                <w:t>DVISERS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3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w:t>
              </w:r>
              <w:r>
                <w:rPr>
                  <w:rFonts w:ascii="Arial" w:cs="Arial" w:eastAsia="Arial" w:hAnsi="Arial"/>
                  <w:sz w:val="14"/>
                  <w:szCs w:val="14"/>
                  <w:color w:val="0000EE"/>
                </w:rPr>
                <w:t>FFER</w:t>
              </w:r>
              <w:r>
                <w:rPr>
                  <w:rFonts w:ascii="Arial" w:cs="Arial" w:eastAsia="Arial" w:hAnsi="Arial"/>
                  <w:sz w:val="18"/>
                  <w:szCs w:val="18"/>
                  <w:color w:val="0000EE"/>
                </w:rPr>
                <w:t xml:space="preserve"> S</w:t>
              </w:r>
              <w:r>
                <w:rPr>
                  <w:rFonts w:ascii="Arial" w:cs="Arial" w:eastAsia="Arial" w:hAnsi="Arial"/>
                  <w:sz w:val="14"/>
                  <w:szCs w:val="14"/>
                  <w:color w:val="0000EE"/>
                </w:rPr>
                <w:t>TATISTICS AND</w:t>
              </w:r>
              <w:r>
                <w:rPr>
                  <w:rFonts w:ascii="Arial" w:cs="Arial" w:eastAsia="Arial" w:hAnsi="Arial"/>
                  <w:sz w:val="18"/>
                  <w:szCs w:val="18"/>
                  <w:color w:val="0000EE"/>
                </w:rPr>
                <w:t xml:space="preserve"> E</w:t>
              </w:r>
              <w:r>
                <w:rPr>
                  <w:rFonts w:ascii="Arial" w:cs="Arial" w:eastAsia="Arial" w:hAnsi="Arial"/>
                  <w:sz w:val="14"/>
                  <w:szCs w:val="14"/>
                  <w:color w:val="0000EE"/>
                </w:rPr>
                <w:t>XPECTED</w:t>
              </w:r>
              <w:r>
                <w:rPr>
                  <w:rFonts w:ascii="Arial" w:cs="Arial" w:eastAsia="Arial" w:hAnsi="Arial"/>
                  <w:sz w:val="18"/>
                  <w:szCs w:val="18"/>
                  <w:color w:val="0000EE"/>
                </w:rPr>
                <w:t xml:space="preserve"> T</w:t>
              </w:r>
              <w:r>
                <w:rPr>
                  <w:rFonts w:ascii="Arial" w:cs="Arial" w:eastAsia="Arial" w:hAnsi="Arial"/>
                  <w:sz w:val="14"/>
                  <w:szCs w:val="14"/>
                  <w:color w:val="0000EE"/>
                </w:rPr>
                <w:t>IMETABLE</w:t>
              </w:r>
            </w:hyperlink>
          </w:p>
        </w:tc>
        <w:tc>
          <w:tcPr>
            <w:tcW w:w="1340" w:type="dxa"/>
            <w:vAlign w:val="bottom"/>
            <w:tcBorders>
              <w:top w:val="single" w:sz="8" w:color="0000EE"/>
            </w:tcBorders>
            <w:gridSpan w:val="7"/>
          </w:tcPr>
          <w:p>
            <w:pPr>
              <w:spacing w:after="0"/>
              <w:rPr>
                <w:sz w:val="17"/>
                <w:szCs w:val="17"/>
                <w:color w:val="auto"/>
              </w:rPr>
            </w:pPr>
          </w:p>
        </w:tc>
        <w:tc>
          <w:tcPr>
            <w:tcW w:w="3160" w:type="dxa"/>
            <w:vAlign w:val="bottom"/>
            <w:gridSpan w:val="6"/>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796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K</w:t>
              </w:r>
              <w:r>
                <w:rPr>
                  <w:rFonts w:ascii="Arial" w:cs="Arial" w:eastAsia="Arial" w:hAnsi="Arial"/>
                  <w:sz w:val="14"/>
                  <w:szCs w:val="14"/>
                  <w:color w:val="0000EE"/>
                </w:rPr>
                <w:t>EY</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796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w:t>
              </w:r>
              <w:r>
                <w:rPr>
                  <w:rFonts w:ascii="Arial" w:cs="Arial" w:eastAsia="Arial" w:hAnsi="Arial"/>
                  <w:sz w:val="14"/>
                  <w:szCs w:val="14"/>
                  <w:color w:val="0000EE"/>
                </w:rPr>
                <w:t>NFORMATION ON THE</w:t>
              </w:r>
              <w:r>
                <w:rPr>
                  <w:rFonts w:ascii="Arial" w:cs="Arial" w:eastAsia="Arial" w:hAnsi="Arial"/>
                  <w:sz w:val="18"/>
                  <w:szCs w:val="18"/>
                  <w:color w:val="0000EE"/>
                </w:rPr>
                <w:t xml:space="preserve"> C</w:t>
              </w:r>
              <w:r>
                <w:rPr>
                  <w:rFonts w:ascii="Arial" w:cs="Arial" w:eastAsia="Arial" w:hAnsi="Arial"/>
                  <w:sz w:val="14"/>
                  <w:szCs w:val="14"/>
                  <w:color w:val="0000EE"/>
                </w:rPr>
                <w:t>OMPANY</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4A.</w:t>
            </w:r>
          </w:p>
        </w:tc>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w:t>
              </w:r>
              <w:r>
                <w:rPr>
                  <w:rFonts w:ascii="Arial" w:cs="Arial" w:eastAsia="Arial" w:hAnsi="Arial"/>
                  <w:sz w:val="14"/>
                  <w:szCs w:val="14"/>
                  <w:color w:val="0000EE"/>
                </w:rPr>
                <w:t>NRESOLVED</w:t>
              </w:r>
              <w:r>
                <w:rPr>
                  <w:rFonts w:ascii="Arial" w:cs="Arial" w:eastAsia="Arial" w:hAnsi="Arial"/>
                  <w:sz w:val="18"/>
                  <w:szCs w:val="18"/>
                  <w:color w:val="0000EE"/>
                </w:rPr>
                <w:t xml:space="preserve"> S</w:t>
              </w:r>
              <w:r>
                <w:rPr>
                  <w:rFonts w:ascii="Arial" w:cs="Arial" w:eastAsia="Arial" w:hAnsi="Arial"/>
                  <w:sz w:val="14"/>
                  <w:szCs w:val="14"/>
                  <w:color w:val="0000EE"/>
                </w:rPr>
                <w:t>TAFF</w:t>
              </w:r>
              <w:r>
                <w:rPr>
                  <w:rFonts w:ascii="Arial" w:cs="Arial" w:eastAsia="Arial" w:hAnsi="Arial"/>
                  <w:sz w:val="18"/>
                  <w:szCs w:val="18"/>
                  <w:color w:val="0000EE"/>
                </w:rPr>
                <w:t xml:space="preserve"> C</w:t>
              </w:r>
              <w:r>
                <w:rPr>
                  <w:rFonts w:ascii="Arial" w:cs="Arial" w:eastAsia="Arial" w:hAnsi="Arial"/>
                  <w:sz w:val="14"/>
                  <w:szCs w:val="14"/>
                  <w:color w:val="0000EE"/>
                </w:rPr>
                <w:t>OMMENTS</w:t>
              </w:r>
            </w:hyperlink>
          </w:p>
        </w:tc>
        <w:tc>
          <w:tcPr>
            <w:tcW w:w="5520" w:type="dxa"/>
            <w:vAlign w:val="bottom"/>
            <w:gridSpan w:val="16"/>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4000" w:type="dxa"/>
            <w:vAlign w:val="bottom"/>
            <w:tcBorders>
              <w:bottom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w:t>
              </w:r>
              <w:r>
                <w:rPr>
                  <w:rFonts w:ascii="Arial" w:cs="Arial" w:eastAsia="Arial" w:hAnsi="Arial"/>
                  <w:sz w:val="14"/>
                  <w:szCs w:val="14"/>
                  <w:color w:val="0000EE"/>
                </w:rPr>
                <w:t>PERATING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R</w:t>
              </w:r>
              <w:r>
                <w:rPr>
                  <w:rFonts w:ascii="Arial" w:cs="Arial" w:eastAsia="Arial" w:hAnsi="Arial"/>
                  <w:sz w:val="14"/>
                  <w:szCs w:val="14"/>
                  <w:color w:val="0000EE"/>
                </w:rPr>
                <w:t>EVIEW AND</w:t>
              </w:r>
              <w:r>
                <w:rPr>
                  <w:rFonts w:ascii="Arial" w:cs="Arial" w:eastAsia="Arial" w:hAnsi="Arial"/>
                  <w:sz w:val="18"/>
                  <w:szCs w:val="18"/>
                  <w:color w:val="0000EE"/>
                </w:rPr>
                <w:t xml:space="preserve"> P</w:t>
              </w:r>
              <w:r>
                <w:rPr>
                  <w:rFonts w:ascii="Arial" w:cs="Arial" w:eastAsia="Arial" w:hAnsi="Arial"/>
                  <w:sz w:val="14"/>
                  <w:szCs w:val="14"/>
                  <w:color w:val="0000EE"/>
                </w:rPr>
                <w:t>ROSPECTS</w:t>
              </w:r>
            </w:hyperlink>
          </w:p>
        </w:tc>
        <w:tc>
          <w:tcPr>
            <w:tcW w:w="3960" w:type="dxa"/>
            <w:vAlign w:val="bottom"/>
            <w:gridSpan w:val="11"/>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7960" w:type="dxa"/>
            <w:vAlign w:val="bottom"/>
            <w:gridSpan w:val="2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w:t>
              </w:r>
              <w:r>
                <w:rPr>
                  <w:rFonts w:ascii="Arial" w:cs="Arial" w:eastAsia="Arial" w:hAnsi="Arial"/>
                  <w:sz w:val="14"/>
                  <w:szCs w:val="14"/>
                  <w:color w:val="0000EE"/>
                </w:rPr>
                <w:t>IRECTORS</w:t>
              </w:r>
              <w:r>
                <w:rPr>
                  <w:rFonts w:ascii="Arial" w:cs="Arial" w:eastAsia="Arial" w:hAnsi="Arial"/>
                  <w:sz w:val="18"/>
                  <w:szCs w:val="18"/>
                  <w:color w:val="0000EE"/>
                </w:rPr>
                <w:t>, S</w:t>
              </w:r>
              <w:r>
                <w:rPr>
                  <w:rFonts w:ascii="Arial" w:cs="Arial" w:eastAsia="Arial" w:hAnsi="Arial"/>
                  <w:sz w:val="14"/>
                  <w:szCs w:val="14"/>
                  <w:color w:val="0000EE"/>
                </w:rPr>
                <w:t>ENIOR</w:t>
              </w:r>
              <w:r>
                <w:rPr>
                  <w:rFonts w:ascii="Arial" w:cs="Arial" w:eastAsia="Arial" w:hAnsi="Arial"/>
                  <w:sz w:val="18"/>
                  <w:szCs w:val="18"/>
                  <w:color w:val="0000EE"/>
                </w:rPr>
                <w:t xml:space="preserve"> M</w:t>
              </w:r>
              <w:r>
                <w:rPr>
                  <w:rFonts w:ascii="Arial" w:cs="Arial" w:eastAsia="Arial" w:hAnsi="Arial"/>
                  <w:sz w:val="14"/>
                  <w:szCs w:val="14"/>
                  <w:color w:val="0000EE"/>
                </w:rPr>
                <w:t>ANAGEMENT AND</w:t>
              </w:r>
              <w:r>
                <w:rPr>
                  <w:rFonts w:ascii="Arial" w:cs="Arial" w:eastAsia="Arial" w:hAnsi="Arial"/>
                  <w:sz w:val="18"/>
                  <w:szCs w:val="18"/>
                  <w:color w:val="0000EE"/>
                </w:rPr>
                <w:t xml:space="preserve"> E</w:t>
              </w:r>
              <w:r>
                <w:rPr>
                  <w:rFonts w:ascii="Arial" w:cs="Arial" w:eastAsia="Arial" w:hAnsi="Arial"/>
                  <w:sz w:val="14"/>
                  <w:szCs w:val="14"/>
                  <w:color w:val="0000EE"/>
                </w:rPr>
                <w:t>MPLOYEES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7960" w:type="dxa"/>
            <w:vAlign w:val="bottom"/>
            <w:gridSpan w:val="2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w:t>
              </w:r>
              <w:r>
                <w:rPr>
                  <w:rFonts w:ascii="Arial" w:cs="Arial" w:eastAsia="Arial" w:hAnsi="Arial"/>
                  <w:sz w:val="14"/>
                  <w:szCs w:val="14"/>
                  <w:color w:val="0000EE"/>
                </w:rPr>
                <w:t>AJOR</w:t>
              </w:r>
              <w:r>
                <w:rPr>
                  <w:rFonts w:ascii="Arial" w:cs="Arial" w:eastAsia="Arial" w:hAnsi="Arial"/>
                  <w:sz w:val="18"/>
                  <w:szCs w:val="18"/>
                  <w:color w:val="0000EE"/>
                </w:rPr>
                <w:t xml:space="preserve"> S</w:t>
              </w:r>
              <w:r>
                <w:rPr>
                  <w:rFonts w:ascii="Arial" w:cs="Arial" w:eastAsia="Arial" w:hAnsi="Arial"/>
                  <w:sz w:val="14"/>
                  <w:szCs w:val="14"/>
                  <w:color w:val="0000EE"/>
                </w:rPr>
                <w:t>HAREHOLDERS AND</w:t>
              </w:r>
              <w:r>
                <w:rPr>
                  <w:rFonts w:ascii="Arial" w:cs="Arial" w:eastAsia="Arial" w:hAnsi="Arial"/>
                  <w:sz w:val="18"/>
                  <w:szCs w:val="18"/>
                  <w:color w:val="0000EE"/>
                </w:rPr>
                <w:t xml:space="preserve"> R</w:t>
              </w:r>
              <w:r>
                <w:rPr>
                  <w:rFonts w:ascii="Arial" w:cs="Arial" w:eastAsia="Arial" w:hAnsi="Arial"/>
                  <w:sz w:val="14"/>
                  <w:szCs w:val="14"/>
                  <w:color w:val="0000EE"/>
                </w:rPr>
                <w:t>ELATED</w:t>
              </w:r>
              <w:r>
                <w:rPr>
                  <w:rFonts w:ascii="Arial" w:cs="Arial" w:eastAsia="Arial" w:hAnsi="Arial"/>
                  <w:sz w:val="18"/>
                  <w:szCs w:val="18"/>
                  <w:color w:val="0000EE"/>
                </w:rPr>
                <w:t xml:space="preserve"> P</w:t>
              </w:r>
              <w:r>
                <w:rPr>
                  <w:rFonts w:ascii="Arial" w:cs="Arial" w:eastAsia="Arial" w:hAnsi="Arial"/>
                  <w:sz w:val="14"/>
                  <w:szCs w:val="14"/>
                  <w:color w:val="0000EE"/>
                </w:rPr>
                <w:t>ARTY</w:t>
              </w:r>
              <w:r>
                <w:rPr>
                  <w:rFonts w:ascii="Arial" w:cs="Arial" w:eastAsia="Arial" w:hAnsi="Arial"/>
                  <w:sz w:val="18"/>
                  <w:szCs w:val="18"/>
                  <w:color w:val="0000EE"/>
                </w:rPr>
                <w:t xml:space="preserve"> T</w:t>
              </w:r>
              <w:r>
                <w:rPr>
                  <w:rFonts w:ascii="Arial" w:cs="Arial" w:eastAsia="Arial" w:hAnsi="Arial"/>
                  <w:sz w:val="14"/>
                  <w:szCs w:val="14"/>
                  <w:color w:val="0000EE"/>
                </w:rPr>
                <w:t>RANSACTIONS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19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2700" w:type="dxa"/>
            <w:vAlign w:val="bottom"/>
            <w:tcBorders>
              <w:top w:val="single" w:sz="8" w:color="0000EE"/>
            </w:tcBorders>
            <w:gridSpan w:val="14"/>
          </w:tcPr>
          <w:p>
            <w:pPr>
              <w:spacing w:after="0"/>
              <w:rPr>
                <w:sz w:val="17"/>
                <w:szCs w:val="17"/>
                <w:color w:val="auto"/>
              </w:rPr>
            </w:pPr>
          </w:p>
        </w:tc>
        <w:tc>
          <w:tcPr>
            <w:tcW w:w="3340" w:type="dxa"/>
            <w:vAlign w:val="bottom"/>
            <w:gridSpan w:val="8"/>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T</w:t>
              </w:r>
              <w:r>
                <w:rPr>
                  <w:rFonts w:ascii="Arial" w:cs="Arial" w:eastAsia="Arial" w:hAnsi="Arial"/>
                  <w:sz w:val="14"/>
                  <w:szCs w:val="14"/>
                  <w:color w:val="0000EE"/>
                </w:rPr>
                <w:t>HE</w:t>
              </w:r>
              <w:r>
                <w:rPr>
                  <w:rFonts w:ascii="Arial" w:cs="Arial" w:eastAsia="Arial" w:hAnsi="Arial"/>
                  <w:sz w:val="18"/>
                  <w:szCs w:val="18"/>
                  <w:color w:val="0000EE"/>
                </w:rPr>
                <w:t xml:space="preserve"> O</w:t>
              </w:r>
              <w:r>
                <w:rPr>
                  <w:rFonts w:ascii="Arial" w:cs="Arial" w:eastAsia="Arial" w:hAnsi="Arial"/>
                  <w:sz w:val="14"/>
                  <w:szCs w:val="14"/>
                  <w:color w:val="0000EE"/>
                </w:rPr>
                <w:t>FFER AND</w:t>
              </w:r>
              <w:r>
                <w:rPr>
                  <w:rFonts w:ascii="Arial" w:cs="Arial" w:eastAsia="Arial" w:hAnsi="Arial"/>
                  <w:sz w:val="18"/>
                  <w:szCs w:val="18"/>
                  <w:color w:val="0000EE"/>
                </w:rPr>
                <w:t xml:space="preserve"> L</w:t>
              </w:r>
              <w:r>
                <w:rPr>
                  <w:rFonts w:ascii="Arial" w:cs="Arial" w:eastAsia="Arial" w:hAnsi="Arial"/>
                  <w:sz w:val="14"/>
                  <w:szCs w:val="14"/>
                  <w:color w:val="0000EE"/>
                </w:rPr>
                <w:t>ISTING</w:t>
              </w:r>
            </w:hyperlink>
          </w:p>
        </w:tc>
        <w:tc>
          <w:tcPr>
            <w:tcW w:w="6080" w:type="dxa"/>
            <w:vAlign w:val="bottom"/>
            <w:gridSpan w:val="23"/>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w:t>
              </w:r>
              <w:r>
                <w:rPr>
                  <w:rFonts w:ascii="Arial" w:cs="Arial" w:eastAsia="Arial" w:hAnsi="Arial"/>
                  <w:sz w:val="14"/>
                  <w:szCs w:val="14"/>
                  <w:color w:val="0000EE"/>
                </w:rPr>
                <w:t>DDITIONAL</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5900" w:type="dxa"/>
            <w:vAlign w:val="bottom"/>
            <w:gridSpan w:val="19"/>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5300" w:type="dxa"/>
            <w:vAlign w:val="bottom"/>
            <w:tcBorders>
              <w:bottom w:val="single" w:sz="8" w:color="0000EE"/>
            </w:tcBorders>
            <w:gridSpan w:val="2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2660" w:type="dxa"/>
            <w:vAlign w:val="bottom"/>
            <w:gridSpan w:val="4"/>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7960" w:type="dxa"/>
            <w:vAlign w:val="bottom"/>
            <w:gridSpan w:val="2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w:t>
              </w:r>
              <w:r>
                <w:rPr>
                  <w:rFonts w:ascii="Arial" w:cs="Arial" w:eastAsia="Arial" w:hAnsi="Arial"/>
                  <w:sz w:val="14"/>
                  <w:szCs w:val="14"/>
                  <w:color w:val="0000EE"/>
                </w:rPr>
                <w:t>ESCRIPTION OF</w:t>
              </w:r>
              <w:r>
                <w:rPr>
                  <w:rFonts w:ascii="Arial" w:cs="Arial" w:eastAsia="Arial" w:hAnsi="Arial"/>
                  <w:sz w:val="18"/>
                  <w:szCs w:val="18"/>
                  <w:color w:val="0000EE"/>
                </w:rPr>
                <w:t xml:space="preserve"> S</w:t>
              </w:r>
              <w:r>
                <w:rPr>
                  <w:rFonts w:ascii="Arial" w:cs="Arial" w:eastAsia="Arial" w:hAnsi="Arial"/>
                  <w:sz w:val="14"/>
                  <w:szCs w:val="14"/>
                  <w:color w:val="0000EE"/>
                </w:rPr>
                <w:t>ECURITIES</w:t>
              </w:r>
              <w:r>
                <w:rPr>
                  <w:rFonts w:ascii="Arial" w:cs="Arial" w:eastAsia="Arial" w:hAnsi="Arial"/>
                  <w:sz w:val="18"/>
                  <w:szCs w:val="18"/>
                  <w:color w:val="0000EE"/>
                </w:rPr>
                <w:t xml:space="preserve"> O</w:t>
              </w:r>
              <w:r>
                <w:rPr>
                  <w:rFonts w:ascii="Arial" w:cs="Arial" w:eastAsia="Arial" w:hAnsi="Arial"/>
                  <w:sz w:val="14"/>
                  <w:szCs w:val="14"/>
                  <w:color w:val="0000EE"/>
                </w:rPr>
                <w:t>THER</w:t>
              </w:r>
              <w:r>
                <w:rPr>
                  <w:rFonts w:ascii="Arial" w:cs="Arial" w:eastAsia="Arial" w:hAnsi="Arial"/>
                  <w:sz w:val="18"/>
                  <w:szCs w:val="18"/>
                  <w:color w:val="0000EE"/>
                </w:rPr>
                <w:t xml:space="preserve"> T</w:t>
              </w:r>
              <w:r>
                <w:rPr>
                  <w:rFonts w:ascii="Arial" w:cs="Arial" w:eastAsia="Arial" w:hAnsi="Arial"/>
                  <w:sz w:val="14"/>
                  <w:szCs w:val="14"/>
                  <w:color w:val="0000EE"/>
                </w:rPr>
                <w:t>HAN</w:t>
              </w:r>
              <w:r>
                <w:rPr>
                  <w:rFonts w:ascii="Arial" w:cs="Arial" w:eastAsia="Arial" w:hAnsi="Arial"/>
                  <w:sz w:val="18"/>
                  <w:szCs w:val="18"/>
                  <w:color w:val="0000EE"/>
                </w:rPr>
                <w:t xml:space="preserve"> E</w:t>
              </w:r>
              <w:r>
                <w:rPr>
                  <w:rFonts w:ascii="Arial" w:cs="Arial" w:eastAsia="Arial" w:hAnsi="Arial"/>
                  <w:sz w:val="14"/>
                  <w:szCs w:val="14"/>
                  <w:color w:val="0000EE"/>
                </w:rPr>
                <w:t>QUITY</w:t>
              </w:r>
              <w:r>
                <w:rPr>
                  <w:rFonts w:ascii="Arial" w:cs="Arial" w:eastAsia="Arial" w:hAnsi="Arial"/>
                  <w:sz w:val="18"/>
                  <w:szCs w:val="18"/>
                  <w:color w:val="0000EE"/>
                </w:rPr>
                <w:t xml:space="preserve"> S</w:t>
              </w:r>
              <w:r>
                <w:rPr>
                  <w:rFonts w:ascii="Arial" w:cs="Arial" w:eastAsia="Arial" w:hAnsi="Arial"/>
                  <w:sz w:val="14"/>
                  <w:szCs w:val="14"/>
                  <w:color w:val="0000EE"/>
                </w:rPr>
                <w:t>ECURITIES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PART II</w:t>
              </w:r>
            </w:hyperlink>
          </w:p>
        </w:tc>
        <w:tc>
          <w:tcPr>
            <w:tcW w:w="960" w:type="dxa"/>
            <w:vAlign w:val="bottom"/>
            <w:gridSpan w:val="2"/>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4300" w:type="dxa"/>
            <w:vAlign w:val="bottom"/>
            <w:tcBorders>
              <w:bottom w:val="single" w:sz="8" w:color="0000EE"/>
            </w:tcBorders>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w:t>
              </w:r>
              <w:r>
                <w:rPr>
                  <w:rFonts w:ascii="Arial" w:cs="Arial" w:eastAsia="Arial" w:hAnsi="Arial"/>
                  <w:sz w:val="14"/>
                  <w:szCs w:val="14"/>
                  <w:color w:val="0000EE"/>
                </w:rPr>
                <w:t>EFAULTS</w:t>
              </w:r>
              <w:r>
                <w:rPr>
                  <w:rFonts w:ascii="Arial" w:cs="Arial" w:eastAsia="Arial" w:hAnsi="Arial"/>
                  <w:sz w:val="18"/>
                  <w:szCs w:val="18"/>
                  <w:color w:val="0000EE"/>
                </w:rPr>
                <w:t>, D</w:t>
              </w:r>
              <w:r>
                <w:rPr>
                  <w:rFonts w:ascii="Arial" w:cs="Arial" w:eastAsia="Arial" w:hAnsi="Arial"/>
                  <w:sz w:val="14"/>
                  <w:szCs w:val="14"/>
                  <w:color w:val="0000EE"/>
                </w:rPr>
                <w:t>IVIDEND</w:t>
              </w:r>
              <w:r>
                <w:rPr>
                  <w:rFonts w:ascii="Arial" w:cs="Arial" w:eastAsia="Arial" w:hAnsi="Arial"/>
                  <w:sz w:val="18"/>
                  <w:szCs w:val="18"/>
                  <w:color w:val="0000EE"/>
                </w:rPr>
                <w:t xml:space="preserve"> A</w:t>
              </w:r>
              <w:r>
                <w:rPr>
                  <w:rFonts w:ascii="Arial" w:cs="Arial" w:eastAsia="Arial" w:hAnsi="Arial"/>
                  <w:sz w:val="14"/>
                  <w:szCs w:val="14"/>
                  <w:color w:val="0000EE"/>
                </w:rPr>
                <w:t>RREARAGES AND</w:t>
              </w:r>
              <w:r>
                <w:rPr>
                  <w:rFonts w:ascii="Arial" w:cs="Arial" w:eastAsia="Arial" w:hAnsi="Arial"/>
                  <w:sz w:val="18"/>
                  <w:szCs w:val="18"/>
                  <w:color w:val="0000EE"/>
                </w:rPr>
                <w:t xml:space="preserve"> D</w:t>
              </w:r>
              <w:r>
                <w:rPr>
                  <w:rFonts w:ascii="Arial" w:cs="Arial" w:eastAsia="Arial" w:hAnsi="Arial"/>
                  <w:sz w:val="14"/>
                  <w:szCs w:val="14"/>
                  <w:color w:val="0000EE"/>
                </w:rPr>
                <w:t>ELINQUENCIES</w:t>
              </w:r>
            </w:hyperlink>
          </w:p>
        </w:tc>
        <w:tc>
          <w:tcPr>
            <w:tcW w:w="3660" w:type="dxa"/>
            <w:vAlign w:val="bottom"/>
            <w:gridSpan w:val="9"/>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7960" w:type="dxa"/>
            <w:vAlign w:val="bottom"/>
            <w:gridSpan w:val="2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w:t>
              </w:r>
              <w:r>
                <w:rPr>
                  <w:rFonts w:ascii="Arial" w:cs="Arial" w:eastAsia="Arial" w:hAnsi="Arial"/>
                  <w:sz w:val="14"/>
                  <w:szCs w:val="14"/>
                  <w:color w:val="0000EE"/>
                </w:rPr>
                <w:t>ATERIAL</w:t>
              </w:r>
              <w:r>
                <w:rPr>
                  <w:rFonts w:ascii="Arial" w:cs="Arial" w:eastAsia="Arial" w:hAnsi="Arial"/>
                  <w:sz w:val="18"/>
                  <w:szCs w:val="18"/>
                  <w:color w:val="0000EE"/>
                </w:rPr>
                <w:t xml:space="preserve"> M</w:t>
              </w:r>
              <w:r>
                <w:rPr>
                  <w:rFonts w:ascii="Arial" w:cs="Arial" w:eastAsia="Arial" w:hAnsi="Arial"/>
                  <w:sz w:val="14"/>
                  <w:szCs w:val="14"/>
                  <w:color w:val="0000EE"/>
                </w:rPr>
                <w:t>ODIFICATIONS TO THE</w:t>
              </w:r>
              <w:r>
                <w:rPr>
                  <w:rFonts w:ascii="Arial" w:cs="Arial" w:eastAsia="Arial" w:hAnsi="Arial"/>
                  <w:sz w:val="18"/>
                  <w:szCs w:val="18"/>
                  <w:color w:val="0000EE"/>
                </w:rPr>
                <w:t xml:space="preserve"> R</w:t>
              </w:r>
              <w:r>
                <w:rPr>
                  <w:rFonts w:ascii="Arial" w:cs="Arial" w:eastAsia="Arial" w:hAnsi="Arial"/>
                  <w:sz w:val="14"/>
                  <w:szCs w:val="14"/>
                  <w:color w:val="0000EE"/>
                </w:rPr>
                <w:t>IGHTS OF</w:t>
              </w:r>
              <w:r>
                <w:rPr>
                  <w:rFonts w:ascii="Arial" w:cs="Arial" w:eastAsia="Arial" w:hAnsi="Arial"/>
                  <w:sz w:val="18"/>
                  <w:szCs w:val="18"/>
                  <w:color w:val="0000EE"/>
                </w:rPr>
                <w:t xml:space="preserve"> S</w:t>
              </w:r>
              <w:r>
                <w:rPr>
                  <w:rFonts w:ascii="Arial" w:cs="Arial" w:eastAsia="Arial" w:hAnsi="Arial"/>
                  <w:sz w:val="14"/>
                  <w:szCs w:val="14"/>
                  <w:color w:val="0000EE"/>
                </w:rPr>
                <w:t>ECURITY</w:t>
              </w:r>
              <w:r>
                <w:rPr>
                  <w:rFonts w:ascii="Arial" w:cs="Arial" w:eastAsia="Arial" w:hAnsi="Arial"/>
                  <w:sz w:val="18"/>
                  <w:szCs w:val="18"/>
                  <w:color w:val="0000EE"/>
                </w:rPr>
                <w:t xml:space="preserve"> H</w:t>
              </w:r>
              <w:r>
                <w:rPr>
                  <w:rFonts w:ascii="Arial" w:cs="Arial" w:eastAsia="Arial" w:hAnsi="Arial"/>
                  <w:sz w:val="14"/>
                  <w:szCs w:val="14"/>
                  <w:color w:val="0000EE"/>
                </w:rPr>
                <w:t>OLDERS AND</w:t>
              </w:r>
              <w:r>
                <w:rPr>
                  <w:rFonts w:ascii="Arial" w:cs="Arial" w:eastAsia="Arial" w:hAnsi="Arial"/>
                  <w:sz w:val="18"/>
                  <w:szCs w:val="18"/>
                  <w:color w:val="0000EE"/>
                </w:rPr>
                <w:t xml:space="preserve"> U</w:t>
              </w:r>
              <w:r>
                <w:rPr>
                  <w:rFonts w:ascii="Arial" w:cs="Arial" w:eastAsia="Arial" w:hAnsi="Arial"/>
                  <w:sz w:val="14"/>
                  <w:szCs w:val="14"/>
                  <w:color w:val="0000EE"/>
                </w:rPr>
                <w:t>SE OF</w:t>
              </w:r>
              <w:r>
                <w:rPr>
                  <w:rFonts w:ascii="Arial" w:cs="Arial" w:eastAsia="Arial" w:hAnsi="Arial"/>
                  <w:sz w:val="18"/>
                  <w:szCs w:val="18"/>
                  <w:color w:val="0000EE"/>
                </w:rPr>
                <w:t xml:space="preserve"> P</w:t>
              </w:r>
              <w:r>
                <w:rPr>
                  <w:rFonts w:ascii="Arial" w:cs="Arial" w:eastAsia="Arial" w:hAnsi="Arial"/>
                  <w:sz w:val="14"/>
                  <w:szCs w:val="14"/>
                  <w:color w:val="0000EE"/>
                </w:rPr>
                <w:t>ROCEEDS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C</w:t>
              </w:r>
              <w:r>
                <w:rPr>
                  <w:rFonts w:ascii="Arial" w:cs="Arial" w:eastAsia="Arial" w:hAnsi="Arial"/>
                  <w:sz w:val="14"/>
                  <w:szCs w:val="14"/>
                  <w:color w:val="0000EE"/>
                  <w:w w:val="99"/>
                </w:rPr>
                <w:t>ONTROLS AND</w:t>
              </w:r>
              <w:r>
                <w:rPr>
                  <w:rFonts w:ascii="Arial" w:cs="Arial" w:eastAsia="Arial" w:hAnsi="Arial"/>
                  <w:sz w:val="18"/>
                  <w:szCs w:val="18"/>
                  <w:color w:val="0000EE"/>
                  <w:w w:val="99"/>
                </w:rPr>
                <w:t xml:space="preserve"> P</w:t>
              </w:r>
              <w:r>
                <w:rPr>
                  <w:rFonts w:ascii="Arial" w:cs="Arial" w:eastAsia="Arial" w:hAnsi="Arial"/>
                  <w:sz w:val="14"/>
                  <w:szCs w:val="14"/>
                  <w:color w:val="0000EE"/>
                  <w:w w:val="99"/>
                </w:rPr>
                <w:t>ROCEDURES</w:t>
              </w:r>
            </w:hyperlink>
          </w:p>
        </w:tc>
        <w:tc>
          <w:tcPr>
            <w:tcW w:w="4540" w:type="dxa"/>
            <w:vAlign w:val="bottom"/>
            <w:tcBorders>
              <w:top w:val="single" w:sz="8" w:color="0000EE"/>
            </w:tcBorders>
            <w:gridSpan w:val="17"/>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16A.</w:t>
            </w:r>
          </w:p>
        </w:tc>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w:t>
              </w:r>
              <w:r>
                <w:rPr>
                  <w:rFonts w:ascii="Arial" w:cs="Arial" w:eastAsia="Arial" w:hAnsi="Arial"/>
                  <w:sz w:val="14"/>
                  <w:szCs w:val="14"/>
                  <w:color w:val="0000EE"/>
                </w:rPr>
                <w:t>UDIT</w:t>
              </w:r>
              <w:r>
                <w:rPr>
                  <w:rFonts w:ascii="Arial" w:cs="Arial" w:eastAsia="Arial" w:hAnsi="Arial"/>
                  <w:sz w:val="18"/>
                  <w:szCs w:val="18"/>
                  <w:color w:val="0000EE"/>
                </w:rPr>
                <w:t xml:space="preserve"> C</w:t>
              </w:r>
              <w:r>
                <w:rPr>
                  <w:rFonts w:ascii="Arial" w:cs="Arial" w:eastAsia="Arial" w:hAnsi="Arial"/>
                  <w:sz w:val="14"/>
                  <w:szCs w:val="14"/>
                  <w:color w:val="0000EE"/>
                </w:rPr>
                <w:t>OMMITTEE</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E</w:t>
              </w:r>
              <w:r>
                <w:rPr>
                  <w:rFonts w:ascii="Arial" w:cs="Arial" w:eastAsia="Arial" w:hAnsi="Arial"/>
                  <w:sz w:val="14"/>
                  <w:szCs w:val="14"/>
                  <w:color w:val="0000EE"/>
                </w:rPr>
                <w:t>XPERT</w:t>
              </w:r>
            </w:hyperlink>
          </w:p>
        </w:tc>
        <w:tc>
          <w:tcPr>
            <w:tcW w:w="5020" w:type="dxa"/>
            <w:vAlign w:val="bottom"/>
            <w:gridSpan w:val="15"/>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16B.</w:t>
            </w: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C</w:t>
              </w:r>
              <w:r>
                <w:rPr>
                  <w:rFonts w:ascii="Arial" w:cs="Arial" w:eastAsia="Arial" w:hAnsi="Arial"/>
                  <w:sz w:val="14"/>
                  <w:szCs w:val="14"/>
                  <w:color w:val="0000EE"/>
                  <w:w w:val="98"/>
                </w:rPr>
                <w:t>ODE OF</w:t>
              </w:r>
              <w:r>
                <w:rPr>
                  <w:rFonts w:ascii="Arial" w:cs="Arial" w:eastAsia="Arial" w:hAnsi="Arial"/>
                  <w:sz w:val="18"/>
                  <w:szCs w:val="18"/>
                  <w:color w:val="0000EE"/>
                  <w:w w:val="98"/>
                </w:rPr>
                <w:t xml:space="preserve"> E</w:t>
              </w:r>
              <w:r>
                <w:rPr>
                  <w:rFonts w:ascii="Arial" w:cs="Arial" w:eastAsia="Arial" w:hAnsi="Arial"/>
                  <w:sz w:val="14"/>
                  <w:szCs w:val="14"/>
                  <w:color w:val="0000EE"/>
                  <w:w w:val="98"/>
                </w:rPr>
                <w:t>THICS</w:t>
              </w:r>
            </w:hyperlink>
          </w:p>
        </w:tc>
        <w:tc>
          <w:tcPr>
            <w:tcW w:w="6700" w:type="dxa"/>
            <w:vAlign w:val="bottom"/>
            <w:gridSpan w:val="27"/>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16C.</w:t>
            </w:r>
          </w:p>
        </w:tc>
        <w:tc>
          <w:tcPr>
            <w:tcW w:w="7960" w:type="dxa"/>
            <w:vAlign w:val="bottom"/>
            <w:gridSpan w:val="2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A</w:t>
              </w:r>
              <w:r>
                <w:rPr>
                  <w:rFonts w:ascii="Arial" w:cs="Arial" w:eastAsia="Arial" w:hAnsi="Arial"/>
                  <w:sz w:val="14"/>
                  <w:szCs w:val="14"/>
                  <w:color w:val="0000EE"/>
                </w:rPr>
                <w:t>CCOUNTANT</w:t>
              </w:r>
              <w:r>
                <w:rPr>
                  <w:rFonts w:ascii="Arial" w:cs="Arial" w:eastAsia="Arial" w:hAnsi="Arial"/>
                  <w:sz w:val="18"/>
                  <w:szCs w:val="18"/>
                  <w:color w:val="0000EE"/>
                </w:rPr>
                <w:t xml:space="preserve"> F</w:t>
              </w:r>
              <w:r>
                <w:rPr>
                  <w:rFonts w:ascii="Arial" w:cs="Arial" w:eastAsia="Arial" w:hAnsi="Arial"/>
                  <w:sz w:val="14"/>
                  <w:szCs w:val="14"/>
                  <w:color w:val="0000EE"/>
                </w:rPr>
                <w:t>EES AND</w:t>
              </w:r>
              <w:r>
                <w:rPr>
                  <w:rFonts w:ascii="Arial" w:cs="Arial" w:eastAsia="Arial" w:hAnsi="Arial"/>
                  <w:sz w:val="18"/>
                  <w:szCs w:val="18"/>
                  <w:color w:val="0000EE"/>
                </w:rPr>
                <w:t xml:space="preserve"> S</w:t>
              </w:r>
              <w:r>
                <w:rPr>
                  <w:rFonts w:ascii="Arial" w:cs="Arial" w:eastAsia="Arial" w:hAnsi="Arial"/>
                  <w:sz w:val="14"/>
                  <w:szCs w:val="14"/>
                  <w:color w:val="0000EE"/>
                </w:rPr>
                <w:t>ERVICES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7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16D.</w:t>
            </w:r>
          </w:p>
        </w:tc>
        <w:tc>
          <w:tcPr>
            <w:tcW w:w="5280" w:type="dxa"/>
            <w:vAlign w:val="bottom"/>
            <w:tcBorders>
              <w:bottom w:val="single" w:sz="8" w:color="0000EE"/>
            </w:tcBorders>
            <w:gridSpan w:val="2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w:t>
              </w:r>
              <w:r>
                <w:rPr>
                  <w:rFonts w:ascii="Arial" w:cs="Arial" w:eastAsia="Arial" w:hAnsi="Arial"/>
                  <w:sz w:val="14"/>
                  <w:szCs w:val="14"/>
                  <w:color w:val="0000EE"/>
                </w:rPr>
                <w:t>XEMPTIONS FROM THE</w:t>
              </w:r>
              <w:r>
                <w:rPr>
                  <w:rFonts w:ascii="Arial" w:cs="Arial" w:eastAsia="Arial" w:hAnsi="Arial"/>
                  <w:sz w:val="18"/>
                  <w:szCs w:val="18"/>
                  <w:color w:val="0000EE"/>
                </w:rPr>
                <w:t xml:space="preserve"> L</w:t>
              </w:r>
              <w:r>
                <w:rPr>
                  <w:rFonts w:ascii="Arial" w:cs="Arial" w:eastAsia="Arial" w:hAnsi="Arial"/>
                  <w:sz w:val="14"/>
                  <w:szCs w:val="14"/>
                  <w:color w:val="0000EE"/>
                </w:rPr>
                <w:t>ISTING</w:t>
              </w:r>
              <w:r>
                <w:rPr>
                  <w:rFonts w:ascii="Arial" w:cs="Arial" w:eastAsia="Arial" w:hAnsi="Arial"/>
                  <w:sz w:val="18"/>
                  <w:szCs w:val="18"/>
                  <w:color w:val="0000EE"/>
                </w:rPr>
                <w:t xml:space="preserve"> S</w:t>
              </w:r>
              <w:r>
                <w:rPr>
                  <w:rFonts w:ascii="Arial" w:cs="Arial" w:eastAsia="Arial" w:hAnsi="Arial"/>
                  <w:sz w:val="14"/>
                  <w:szCs w:val="14"/>
                  <w:color w:val="0000EE"/>
                </w:rPr>
                <w:t>TANDARDS FOR</w:t>
              </w:r>
              <w:r>
                <w:rPr>
                  <w:rFonts w:ascii="Arial" w:cs="Arial" w:eastAsia="Arial" w:hAnsi="Arial"/>
                  <w:sz w:val="18"/>
                  <w:szCs w:val="18"/>
                  <w:color w:val="0000EE"/>
                </w:rPr>
                <w:t xml:space="preserve"> A</w:t>
              </w:r>
              <w:r>
                <w:rPr>
                  <w:rFonts w:ascii="Arial" w:cs="Arial" w:eastAsia="Arial" w:hAnsi="Arial"/>
                  <w:sz w:val="14"/>
                  <w:szCs w:val="14"/>
                  <w:color w:val="0000EE"/>
                </w:rPr>
                <w:t>UDIT</w:t>
              </w:r>
              <w:r>
                <w:rPr>
                  <w:rFonts w:ascii="Arial" w:cs="Arial" w:eastAsia="Arial" w:hAnsi="Arial"/>
                  <w:sz w:val="18"/>
                  <w:szCs w:val="18"/>
                  <w:color w:val="0000EE"/>
                </w:rPr>
                <w:t xml:space="preserve"> C</w:t>
              </w:r>
              <w:r>
                <w:rPr>
                  <w:rFonts w:ascii="Arial" w:cs="Arial" w:eastAsia="Arial" w:hAnsi="Arial"/>
                  <w:sz w:val="14"/>
                  <w:szCs w:val="14"/>
                  <w:color w:val="0000EE"/>
                </w:rPr>
                <w:t>OMMITTEES</w:t>
              </w:r>
            </w:hyperlink>
          </w:p>
        </w:tc>
        <w:tc>
          <w:tcPr>
            <w:tcW w:w="2680" w:type="dxa"/>
            <w:vAlign w:val="bottom"/>
            <w:gridSpan w:val="5"/>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16E.</w:t>
            </w:r>
          </w:p>
        </w:tc>
        <w:tc>
          <w:tcPr>
            <w:tcW w:w="6120" w:type="dxa"/>
            <w:vAlign w:val="bottom"/>
            <w:tcBorders>
              <w:bottom w:val="single" w:sz="8" w:color="0000EE"/>
            </w:tcBorders>
            <w:gridSpan w:val="2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w:t>
              </w:r>
              <w:r>
                <w:rPr>
                  <w:rFonts w:ascii="Arial" w:cs="Arial" w:eastAsia="Arial" w:hAnsi="Arial"/>
                  <w:sz w:val="14"/>
                  <w:szCs w:val="14"/>
                  <w:color w:val="0000EE"/>
                </w:rPr>
                <w:t>URCHASES OF</w:t>
              </w:r>
              <w:r>
                <w:rPr>
                  <w:rFonts w:ascii="Arial" w:cs="Arial" w:eastAsia="Arial" w:hAnsi="Arial"/>
                  <w:sz w:val="18"/>
                  <w:szCs w:val="18"/>
                  <w:color w:val="0000EE"/>
                </w:rPr>
                <w:t xml:space="preserve"> E</w:t>
              </w:r>
              <w:r>
                <w:rPr>
                  <w:rFonts w:ascii="Arial" w:cs="Arial" w:eastAsia="Arial" w:hAnsi="Arial"/>
                  <w:sz w:val="14"/>
                  <w:szCs w:val="14"/>
                  <w:color w:val="0000EE"/>
                </w:rPr>
                <w:t>QUITY</w:t>
              </w:r>
              <w:r>
                <w:rPr>
                  <w:rFonts w:ascii="Arial" w:cs="Arial" w:eastAsia="Arial" w:hAnsi="Arial"/>
                  <w:sz w:val="18"/>
                  <w:szCs w:val="18"/>
                  <w:color w:val="0000EE"/>
                </w:rPr>
                <w:t xml:space="preserve"> S</w:t>
              </w:r>
              <w:r>
                <w:rPr>
                  <w:rFonts w:ascii="Arial" w:cs="Arial" w:eastAsia="Arial" w:hAnsi="Arial"/>
                  <w:sz w:val="14"/>
                  <w:szCs w:val="14"/>
                  <w:color w:val="0000EE"/>
                </w:rPr>
                <w:t>ECURITIES BY THE</w:t>
              </w:r>
              <w:r>
                <w:rPr>
                  <w:rFonts w:ascii="Arial" w:cs="Arial" w:eastAsia="Arial" w:hAnsi="Arial"/>
                  <w:sz w:val="18"/>
                  <w:szCs w:val="18"/>
                  <w:color w:val="0000EE"/>
                </w:rPr>
                <w:t xml:space="preserve"> I</w:t>
              </w:r>
              <w:r>
                <w:rPr>
                  <w:rFonts w:ascii="Arial" w:cs="Arial" w:eastAsia="Arial" w:hAnsi="Arial"/>
                  <w:sz w:val="14"/>
                  <w:szCs w:val="14"/>
                  <w:color w:val="0000EE"/>
                </w:rPr>
                <w:t>SSUER AND</w:t>
              </w:r>
              <w:r>
                <w:rPr>
                  <w:rFonts w:ascii="Arial" w:cs="Arial" w:eastAsia="Arial" w:hAnsi="Arial"/>
                  <w:sz w:val="18"/>
                  <w:szCs w:val="18"/>
                  <w:color w:val="0000EE"/>
                </w:rPr>
                <w:t xml:space="preserve"> A</w:t>
              </w:r>
              <w:r>
                <w:rPr>
                  <w:rFonts w:ascii="Arial" w:cs="Arial" w:eastAsia="Arial" w:hAnsi="Arial"/>
                  <w:sz w:val="14"/>
                  <w:szCs w:val="14"/>
                  <w:color w:val="0000EE"/>
                </w:rPr>
                <w:t>FFILIATED</w:t>
              </w:r>
              <w:r>
                <w:rPr>
                  <w:rFonts w:ascii="Arial" w:cs="Arial" w:eastAsia="Arial" w:hAnsi="Arial"/>
                  <w:sz w:val="18"/>
                  <w:szCs w:val="18"/>
                  <w:color w:val="0000EE"/>
                </w:rPr>
                <w:t xml:space="preserve"> P</w:t>
              </w:r>
              <w:r>
                <w:rPr>
                  <w:rFonts w:ascii="Arial" w:cs="Arial" w:eastAsia="Arial" w:hAnsi="Arial"/>
                  <w:sz w:val="14"/>
                  <w:szCs w:val="14"/>
                  <w:color w:val="0000EE"/>
                </w:rPr>
                <w:t>URCHASERS</w:t>
              </w:r>
            </w:hyperlink>
          </w:p>
        </w:tc>
        <w:tc>
          <w:tcPr>
            <w:tcW w:w="1840" w:type="dxa"/>
            <w:vAlign w:val="bottom"/>
            <w:gridSpan w:val="2"/>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16F.</w:t>
            </w:r>
          </w:p>
        </w:tc>
        <w:tc>
          <w:tcPr>
            <w:tcW w:w="4020" w:type="dxa"/>
            <w:vAlign w:val="bottom"/>
            <w:tcBorders>
              <w:bottom w:val="single" w:sz="8" w:color="0000EE"/>
            </w:tcBorders>
            <w:gridSpan w:val="1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w:t>
              </w:r>
              <w:r>
                <w:rPr>
                  <w:rFonts w:ascii="Arial" w:cs="Arial" w:eastAsia="Arial" w:hAnsi="Arial"/>
                  <w:sz w:val="14"/>
                  <w:szCs w:val="14"/>
                  <w:color w:val="0000EE"/>
                </w:rPr>
                <w:t>HANGE IN</w:t>
              </w:r>
              <w:r>
                <w:rPr>
                  <w:rFonts w:ascii="Arial" w:cs="Arial" w:eastAsia="Arial" w:hAnsi="Arial"/>
                  <w:sz w:val="18"/>
                  <w:szCs w:val="18"/>
                  <w:color w:val="0000EE"/>
                </w:rPr>
                <w:t xml:space="preserve"> R</w:t>
              </w:r>
              <w:r>
                <w:rPr>
                  <w:rFonts w:ascii="Arial" w:cs="Arial" w:eastAsia="Arial" w:hAnsi="Arial"/>
                  <w:sz w:val="14"/>
                  <w:szCs w:val="14"/>
                  <w:color w:val="0000EE"/>
                </w:rPr>
                <w:t>EGISTRANT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C</w:t>
              </w:r>
              <w:r>
                <w:rPr>
                  <w:rFonts w:ascii="Arial" w:cs="Arial" w:eastAsia="Arial" w:hAnsi="Arial"/>
                  <w:sz w:val="14"/>
                  <w:szCs w:val="14"/>
                  <w:color w:val="0000EE"/>
                </w:rPr>
                <w:t>ERTIFYING</w:t>
              </w:r>
              <w:r>
                <w:rPr>
                  <w:rFonts w:ascii="Arial" w:cs="Arial" w:eastAsia="Arial" w:hAnsi="Arial"/>
                  <w:sz w:val="18"/>
                  <w:szCs w:val="18"/>
                  <w:color w:val="0000EE"/>
                </w:rPr>
                <w:t xml:space="preserve"> A</w:t>
              </w:r>
              <w:r>
                <w:rPr>
                  <w:rFonts w:ascii="Arial" w:cs="Arial" w:eastAsia="Arial" w:hAnsi="Arial"/>
                  <w:sz w:val="14"/>
                  <w:szCs w:val="14"/>
                  <w:color w:val="0000EE"/>
                </w:rPr>
                <w:t>CCOUNTANT</w:t>
              </w:r>
            </w:hyperlink>
          </w:p>
        </w:tc>
        <w:tc>
          <w:tcPr>
            <w:tcW w:w="3940" w:type="dxa"/>
            <w:vAlign w:val="bottom"/>
            <w:gridSpan w:val="10"/>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16G.</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C</w:t>
              </w:r>
              <w:r>
                <w:rPr>
                  <w:rFonts w:ascii="Arial" w:cs="Arial" w:eastAsia="Arial" w:hAnsi="Arial"/>
                  <w:sz w:val="14"/>
                  <w:szCs w:val="14"/>
                  <w:color w:val="0000EE"/>
                  <w:w w:val="99"/>
                </w:rPr>
                <w:t>ORPORATE</w:t>
              </w:r>
              <w:r>
                <w:rPr>
                  <w:rFonts w:ascii="Arial" w:cs="Arial" w:eastAsia="Arial" w:hAnsi="Arial"/>
                  <w:sz w:val="18"/>
                  <w:szCs w:val="18"/>
                  <w:color w:val="0000EE"/>
                  <w:w w:val="99"/>
                </w:rPr>
                <w:t xml:space="preserve"> G</w:t>
              </w:r>
              <w:r>
                <w:rPr>
                  <w:rFonts w:ascii="Arial" w:cs="Arial" w:eastAsia="Arial" w:hAnsi="Arial"/>
                  <w:sz w:val="14"/>
                  <w:szCs w:val="14"/>
                  <w:color w:val="0000EE"/>
                  <w:w w:val="99"/>
                </w:rPr>
                <w:t>OVERNANCE</w:t>
              </w:r>
            </w:hyperlink>
          </w:p>
        </w:tc>
        <w:tc>
          <w:tcPr>
            <w:tcW w:w="5960" w:type="dxa"/>
            <w:vAlign w:val="bottom"/>
            <w:gridSpan w:val="21"/>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16H.</w:t>
            </w: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w:t>
              </w:r>
              <w:r>
                <w:rPr>
                  <w:rFonts w:ascii="Arial" w:cs="Arial" w:eastAsia="Arial" w:hAnsi="Arial"/>
                  <w:sz w:val="14"/>
                  <w:szCs w:val="14"/>
                  <w:color w:val="0000EE"/>
                </w:rPr>
                <w:t>INE</w:t>
              </w:r>
              <w:r>
                <w:rPr>
                  <w:rFonts w:ascii="Arial" w:cs="Arial" w:eastAsia="Arial" w:hAnsi="Arial"/>
                  <w:sz w:val="18"/>
                  <w:szCs w:val="18"/>
                  <w:color w:val="0000EE"/>
                </w:rPr>
                <w:t xml:space="preserve"> S</w:t>
              </w:r>
              <w:r>
                <w:rPr>
                  <w:rFonts w:ascii="Arial" w:cs="Arial" w:eastAsia="Arial" w:hAnsi="Arial"/>
                  <w:sz w:val="14"/>
                  <w:szCs w:val="14"/>
                  <w:color w:val="0000EE"/>
                </w:rPr>
                <w:t>AFETY</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5920" w:type="dxa"/>
            <w:vAlign w:val="bottom"/>
            <w:gridSpan w:val="20"/>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16I.</w:t>
            </w:r>
          </w:p>
        </w:tc>
        <w:tc>
          <w:tcPr>
            <w:tcW w:w="7960" w:type="dxa"/>
            <w:vAlign w:val="bottom"/>
            <w:gridSpan w:val="2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w:t>
              </w:r>
              <w:r>
                <w:rPr>
                  <w:rFonts w:ascii="Arial" w:cs="Arial" w:eastAsia="Arial" w:hAnsi="Arial"/>
                  <w:sz w:val="14"/>
                  <w:szCs w:val="14"/>
                  <w:color w:val="0000EE"/>
                </w:rPr>
                <w:t>ISCLOSURE</w:t>
              </w:r>
              <w:r>
                <w:rPr>
                  <w:rFonts w:ascii="Arial" w:cs="Arial" w:eastAsia="Arial" w:hAnsi="Arial"/>
                  <w:sz w:val="18"/>
                  <w:szCs w:val="18"/>
                  <w:color w:val="0000EE"/>
                </w:rPr>
                <w:t xml:space="preserve"> R</w:t>
              </w:r>
              <w:r>
                <w:rPr>
                  <w:rFonts w:ascii="Arial" w:cs="Arial" w:eastAsia="Arial" w:hAnsi="Arial"/>
                  <w:sz w:val="14"/>
                  <w:szCs w:val="14"/>
                  <w:color w:val="0000EE"/>
                </w:rPr>
                <w:t>EGARDING</w:t>
              </w:r>
              <w:r>
                <w:rPr>
                  <w:rFonts w:ascii="Arial" w:cs="Arial" w:eastAsia="Arial" w:hAnsi="Arial"/>
                  <w:sz w:val="18"/>
                  <w:szCs w:val="18"/>
                  <w:color w:val="0000EE"/>
                </w:rPr>
                <w:t xml:space="preserve"> F</w:t>
              </w:r>
              <w:r>
                <w:rPr>
                  <w:rFonts w:ascii="Arial" w:cs="Arial" w:eastAsia="Arial" w:hAnsi="Arial"/>
                  <w:sz w:val="14"/>
                  <w:szCs w:val="14"/>
                  <w:color w:val="0000EE"/>
                </w:rPr>
                <w:t>OREIGN</w:t>
              </w:r>
              <w:r>
                <w:rPr>
                  <w:rFonts w:ascii="Arial" w:cs="Arial" w:eastAsia="Arial" w:hAnsi="Arial"/>
                  <w:sz w:val="18"/>
                  <w:szCs w:val="18"/>
                  <w:color w:val="0000EE"/>
                </w:rPr>
                <w:t xml:space="preserve"> J</w:t>
              </w:r>
              <w:r>
                <w:rPr>
                  <w:rFonts w:ascii="Arial" w:cs="Arial" w:eastAsia="Arial" w:hAnsi="Arial"/>
                  <w:sz w:val="14"/>
                  <w:szCs w:val="14"/>
                  <w:color w:val="0000EE"/>
                </w:rPr>
                <w:t>URISDICTIONS THAT</w:t>
              </w:r>
              <w:r>
                <w:rPr>
                  <w:rFonts w:ascii="Arial" w:cs="Arial" w:eastAsia="Arial" w:hAnsi="Arial"/>
                  <w:sz w:val="18"/>
                  <w:szCs w:val="18"/>
                  <w:color w:val="0000EE"/>
                </w:rPr>
                <w:t xml:space="preserve"> P</w:t>
              </w:r>
              <w:r>
                <w:rPr>
                  <w:rFonts w:ascii="Arial" w:cs="Arial" w:eastAsia="Arial" w:hAnsi="Arial"/>
                  <w:sz w:val="14"/>
                  <w:szCs w:val="14"/>
                  <w:color w:val="0000EE"/>
                </w:rPr>
                <w:t>REVENT</w:t>
              </w:r>
              <w:r>
                <w:rPr>
                  <w:rFonts w:ascii="Arial" w:cs="Arial" w:eastAsia="Arial" w:hAnsi="Arial"/>
                  <w:sz w:val="18"/>
                  <w:szCs w:val="18"/>
                  <w:color w:val="0000EE"/>
                </w:rPr>
                <w:t xml:space="preserve"> I</w:t>
              </w:r>
              <w:r>
                <w:rPr>
                  <w:rFonts w:ascii="Arial" w:cs="Arial" w:eastAsia="Arial" w:hAnsi="Arial"/>
                  <w:sz w:val="14"/>
                  <w:szCs w:val="14"/>
                  <w:color w:val="0000EE"/>
                </w:rPr>
                <w:t>NSPECTIONS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620" w:type="dxa"/>
            <w:vAlign w:val="bottom"/>
            <w:gridSpan w:val="4"/>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7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00" w:type="dxa"/>
            <w:vAlign w:val="bottom"/>
            <w:gridSpan w:val="2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17.</w:t>
            </w:r>
          </w:p>
        </w:tc>
        <w:tc>
          <w:tcPr>
            <w:tcW w:w="1860" w:type="dxa"/>
            <w:vAlign w:val="bottom"/>
            <w:tcBorders>
              <w:bottom w:val="single" w:sz="8" w:color="0000EE"/>
            </w:tcBorders>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6100" w:type="dxa"/>
            <w:vAlign w:val="bottom"/>
            <w:gridSpan w:val="24"/>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18.</w:t>
            </w:r>
          </w:p>
        </w:tc>
        <w:tc>
          <w:tcPr>
            <w:tcW w:w="184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w:t>
              </w:r>
            </w:hyperlink>
          </w:p>
        </w:tc>
        <w:tc>
          <w:tcPr>
            <w:tcW w:w="6120" w:type="dxa"/>
            <w:vAlign w:val="bottom"/>
            <w:gridSpan w:val="25"/>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6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19.</w:t>
            </w:r>
          </w:p>
        </w:tc>
        <w:tc>
          <w:tcPr>
            <w:tcW w:w="7960" w:type="dxa"/>
            <w:vAlign w:val="bottom"/>
            <w:gridSpan w:val="2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w:t>
              </w:r>
              <w:r>
                <w:rPr>
                  <w:rFonts w:ascii="Arial" w:cs="Arial" w:eastAsia="Arial" w:hAnsi="Arial"/>
                  <w:sz w:val="14"/>
                  <w:szCs w:val="14"/>
                  <w:color w:val="0000EE"/>
                </w:rPr>
                <w:t>XHIBITS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121"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CONVENTIONS THAT APPLY TO THIS ANNUAL REPORT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references in this annual report to:</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our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four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“CAGR” is to compound annual growth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“China” or “PRC” are to the People’s Republic of China, excluding the special administrative regions of Hong Kong and Macau;</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“Korea” is to the Republic of Korea, or South Korea;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“Nasdaq” is to the Nasdaq Global Select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“NT dollar,” “NT dollars” or “NT$” are to New Taiwan dollars, the legal currency of Taiwan;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“ROC” or “Taiwan” are to the Republic of China, the official name of Taiwan;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or “ordinary shares” are to our ordinary shares, with a par value US$0.01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GAAP” is to generally accepted accounting principles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dollar,” “U.S. dollars” or “US$” are to United States dollars, the legal currency of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“us,” “our company,” “our,” “SMTC” and “Silicon Motion” are to Silicon Motion Technology Corporation and its subsidiaries.</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Silicon Motion, the Silicon Motion logo, NANDSustain, NANDXtend, SSDLifeGuard, SSDLifeSaver, TurboMLC, FerriSSD, Ferri-eMMC, Ferri-UFS, the powered by SiliconMotion logo, InstantView, the Shannon Systems logo, PCIe-RAID, DIRECT-IO, Hyper-IO, Bigtera, the Bigtera logo, VirtualStor, CloudStor, and StorVisor are our trademarks or registered trademarks. We may also refer to trademarks of other corporations and organizations in this document.</w:t>
      </w:r>
    </w:p>
    <w:p>
      <w:pPr>
        <w:spacing w:after="0" w:line="187"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Unless otherwise indicated, our financial information presented in this annual report has been prepared in accordance with U.S. GAAP. 1</w:t>
      </w:r>
    </w:p>
    <w:p>
      <w:pPr>
        <w:sectPr>
          <w:pgSz w:w="11900" w:h="16838" w:orient="portrait"/>
          <w:cols w:equalWidth="0" w:num="1">
            <w:col w:w="11060"/>
          </w:cols>
          <w:pgMar w:left="320" w:top="48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annual report on Form 20-F contains forward-looking statements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statements regarding our financial position; our expectations concerning future operations, margins, profitability, liquidity and capital resources; our business strategy and other plans and objectives for future operations; and all other statements that are not historical facts. In some cases, you can identify forward-looking statements by terminology such as “may,” “will,” “should,” “expects,” “intends,” “plans,” “anticipates,” “believes,” “thinks,” “estimates,” “seeks,” “predicts,” “potential,” and similar expressions. Although we believe that these statements are based on reasonable assumptions, they are subject to numerous factors, risks and uncertainties, including, but are not limited to, those identified under “Risk Factors” and elsewhere in this annual report on Form 20-F that could cause actual results and performance to be materially different from those projected. Given these factors, risks and uncertainties, you should not place undue reliance on these forward-looking statements. Also, these forward-looking statements represent our estimates and assumptions only as of the date of this filing. Except as required by law, we assume no obligation to update these forward-looking statements, even if new information becomes available in the future.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w:t>
      </w:r>
      <w:r>
        <w:rPr>
          <w:sz w:val="20"/>
          <w:szCs w:val="20"/>
          <w:color w:val="auto"/>
        </w:rPr>
        <w:tab/>
      </w:r>
      <w:r>
        <w:rPr>
          <w:rFonts w:ascii="Arial" w:cs="Arial" w:eastAsia="Arial" w:hAnsi="Arial"/>
          <w:sz w:val="18"/>
          <w:szCs w:val="18"/>
          <w:b w:val="1"/>
          <w:bCs w:val="1"/>
          <w:color w:val="auto"/>
        </w:rPr>
        <w:t>I</w:t>
      </w:r>
      <w:r>
        <w:rPr>
          <w:rFonts w:ascii="Arial" w:cs="Arial" w:eastAsia="Arial" w:hAnsi="Arial"/>
          <w:sz w:val="14"/>
          <w:szCs w:val="14"/>
          <w:b w:val="1"/>
          <w:bCs w:val="1"/>
          <w:color w:val="auto"/>
        </w:rPr>
        <w:t>DENTITY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DVISERS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2.</w:t>
      </w:r>
      <w:r>
        <w:rPr>
          <w:sz w:val="20"/>
          <w:szCs w:val="20"/>
          <w:color w:val="auto"/>
        </w:rPr>
        <w:tab/>
      </w:r>
      <w:r>
        <w:rPr>
          <w:rFonts w:ascii="Arial" w:cs="Arial" w:eastAsia="Arial" w:hAnsi="Arial"/>
          <w:sz w:val="18"/>
          <w:szCs w:val="18"/>
          <w:b w:val="1"/>
          <w:bCs w:val="1"/>
          <w:color w:val="auto"/>
        </w:rPr>
        <w:t>O</w:t>
      </w:r>
      <w:r>
        <w:rPr>
          <w:rFonts w:ascii="Arial" w:cs="Arial" w:eastAsia="Arial" w:hAnsi="Arial"/>
          <w:sz w:val="14"/>
          <w:szCs w:val="14"/>
          <w:b w:val="1"/>
          <w:bCs w:val="1"/>
          <w:color w:val="auto"/>
        </w:rPr>
        <w:t>FFER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TATISTICS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XPECTED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8"/>
          <w:szCs w:val="18"/>
          <w:b w:val="1"/>
          <w:bCs w:val="1"/>
          <w:color w:val="auto"/>
        </w:rPr>
        <w:t>K</w:t>
      </w:r>
      <w:r>
        <w:rPr>
          <w:rFonts w:ascii="Arial" w:cs="Arial" w:eastAsia="Arial" w:hAnsi="Arial"/>
          <w:sz w:val="14"/>
          <w:szCs w:val="14"/>
          <w:b w:val="1"/>
          <w:bCs w:val="1"/>
          <w:color w:val="auto"/>
        </w:rPr>
        <w:t>EY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374"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373" w:lineRule="exact"/>
        <w:rPr>
          <w:rFonts w:ascii="Arial" w:cs="Arial" w:eastAsia="Arial" w:hAnsi="Arial"/>
          <w:sz w:val="18"/>
          <w:szCs w:val="18"/>
          <w:b w:val="1"/>
          <w:bCs w:val="1"/>
          <w:color w:val="auto"/>
        </w:rPr>
      </w:pPr>
    </w:p>
    <w:p>
      <w:pPr>
        <w:ind w:left="1100" w:right="7500" w:hanging="552"/>
        <w:spacing w:after="0" w:line="407" w:lineRule="auto"/>
        <w:tabs>
          <w:tab w:leader="none" w:pos="108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202" w:lineRule="exact"/>
        <w:rPr>
          <w:rFonts w:ascii="Arial" w:cs="Arial" w:eastAsia="Arial" w:hAnsi="Arial"/>
          <w:sz w:val="18"/>
          <w:szCs w:val="18"/>
          <w:b w:val="1"/>
          <w:bCs w:val="1"/>
          <w:color w:val="auto"/>
        </w:rPr>
      </w:pPr>
    </w:p>
    <w:p>
      <w:pPr>
        <w:ind w:left="1100" w:right="6740" w:hanging="552"/>
        <w:spacing w:after="0" w:line="407" w:lineRule="auto"/>
        <w:tabs>
          <w:tab w:leader="none" w:pos="108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202" w:lineRule="exact"/>
        <w:rPr>
          <w:rFonts w:ascii="Arial" w:cs="Arial" w:eastAsia="Arial" w:hAnsi="Arial"/>
          <w:sz w:val="18"/>
          <w:szCs w:val="18"/>
          <w:b w:val="1"/>
          <w:bCs w:val="1"/>
          <w:color w:val="auto"/>
        </w:rPr>
      </w:pPr>
    </w:p>
    <w:p>
      <w:pPr>
        <w:ind w:left="1080" w:hanging="532"/>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business, operations and financial results are subject to various risks and uncertainties, including those described below, that could adversely affect our business, financial condition, results of operations and cash flows and the trading price of our ADSs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The following factors, among others, could cause our actual results to differ materially from those expressed in forward-looking statements made by us in filings with the SEC, press releases, communications with investors and oral statements. You should also refer to the other information set forth in this Form 20-F, including in the Financial Statements.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summary of the principal risks we face, followed by a more detailed description of the risk factors being set forth in summary fashion.</w:t>
      </w:r>
    </w:p>
    <w:p>
      <w:pPr>
        <w:spacing w:after="0" w:line="154" w:lineRule="exact"/>
        <w:rPr>
          <w:sz w:val="20"/>
          <w:szCs w:val="20"/>
          <w:color w:val="auto"/>
        </w:rPr>
      </w:pPr>
    </w:p>
    <w:p>
      <w:pPr>
        <w:ind w:left="1080" w:right="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of operations are subject to substantial quarterly and annual fluctuations due to a number of factors that could adversely affect our business and the price of our ADSs.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continues to impact our business and could materially adversely affect our financial condition and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 which has been subject to significant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Inflation and inflationary pressures could have an adverse effect on our business, financial condition, results of operations and cash flows.</w:t>
      </w:r>
    </w:p>
    <w:p>
      <w:pPr>
        <w:spacing w:after="0" w:line="153"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order and shipment uncertainties and our results of operations could be materially adversely affected if we are unable to accurately forecast customer demand.</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demand for our products depends in part on the market conditions in the industries into which they are sold. Fluctuations in demand for our products or a market decline in any of these industries could have a material adverse effect on our results of operations.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86"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pursue acquisitions, investments and dispositions, which could adversely affect our results of operations.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a few large customers for a significant portion of our revenues and a loss of some of these customers would result in the loss of a significant portion of our revenues.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NAND industry cyclicality could adversely affect our growth and profitability.</w:t>
      </w:r>
    </w:p>
    <w:p>
      <w:pPr>
        <w:spacing w:after="0" w:line="130"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accurately anticipate and respond to market trends or fail to develop and introduce new or enhanced products to address these trends on a timely basis, our ability to attract and retain customers could be impaired and our competitive position could be harmed.</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gross margin and results of operations may be adversely affected in the future by a number of factors, including decreases in average selling prices of products over time, increased raw material costs and shifts in our product mix.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solid state drive, or SSD, solutions product performance could continue to adversely affect our results of operations.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any of our key personnel or the failure to attract or retain specialized technical and management personnel could impair our ability to grow our business.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independent semiconductor foundries and subcontractors for the fabrication, assembly and testing of our integrated circuits, and any limitation of their available capacity to us or failure to fulfill our orders satisfactorily could damage our relationships with our customers, decrease our sales or limit our ability to grow our business.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protect our intellectual properties or maintain the right to certain other technologies may negatively affect our ability to compete.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successfully defend against intellectual property lawsuits brought against us may adversely affect our business.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the markets in which we compete are highly competitive and many of our competitors have greater resources than we have, we cannot be certain that our products will compete favorably in the marketplace.</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products must meet exacting specifications and undetected defects and failures may occur, which may cause customers to return or stop buying our products and may expose us to product liability risk and risks of indemnification against defects in our products.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intellectual property indemnification practices may adversely impact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potential impairment on investments.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achieve and maintain effective internal controls could have a material adverse effect on our business, results of operations and the market price of our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cybersecurity risk.</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and compliance with these regulations may cause us to incur significant expense.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stock price has been, and may continue to be, volatile, which could result in investors losing all or part of their investments.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can be no assurance that we will continue to declare cash dividends, if at all, or in any particular amounts.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characterized as a passive foreign investment company, U.S. holders of our ADSs may experience adverse tax consequences.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42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business, financial condition and results of operations could be adversely affected by the political and economic conditions of the countries in which we conduct business and other factors related to our international operations, such as Russia’s invasion of Ukraine.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primarily in regions that are susceptible to natural disasters.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substantial risks associated with doing business in Taiwan because of tense regional geopolitical risk with China.</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enactment of legislation implementing changes in taxation of international business activities, the adoption of other tax reform policies or changes in tax legislation or policies could materially impact our financial position and results of operations.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substantial amount of our stock is held by a small number of large investors and significant sales of our ADSs in the public market by one or more of these holders could cause our stock price to fall.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risks associated with the development and construction of our office buildings.</w:t>
      </w:r>
    </w:p>
    <w:p>
      <w:pPr>
        <w:spacing w:after="0" w:line="333"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Our results of operations are subject to substantial quarterly and annual fluctuations due to a number of factors that could adversely affect our business and the price of our ADSs.</w:t>
      </w:r>
    </w:p>
    <w:p>
      <w:pPr>
        <w:spacing w:after="0" w:line="62"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Our operating results have fluctuated in the past and are likely to fluctuate in the future. These fluctuations may occur on a quarterly and on an annual basis and are due to a number of factors, many of which are beyond our control, including, but not limited to:</w:t>
      </w:r>
    </w:p>
    <w:p>
      <w:pPr>
        <w:spacing w:after="0" w:line="52" w:lineRule="exact"/>
        <w:rPr>
          <w:sz w:val="20"/>
          <w:szCs w:val="20"/>
          <w:color w:val="auto"/>
        </w:rPr>
      </w:pPr>
    </w:p>
    <w:p>
      <w:pPr>
        <w:ind w:left="1080" w:right="5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unpredictable consequences of public health emergencies such as COVID-19, further discussed in the following Risk Factor, and natural or man-made disasters;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conditions, including downturns in market segments, such as the computing and mobile markets, in which we operate, or in global and regional economies;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pricing of third-party semiconductor foundry, assembly, packaging and testing services, including their yield, and related raw materials;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reduction, changes in timing or cancellation of customer orders;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and global inflationary pressures;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customers’ sales outlook, purchasing patterns and inventory adjustments;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 design-win or key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and pricing pressures, including new product introductions and other actions taken by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and cost of NAND flash used in our and our customer’s products;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product mix, especially relating to the sales of our NAND flash controllers and SSD solutions, and their effect on our gross margin;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impairment uncertainties relating to the effects of volatile NAND flash price and excess inventory;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develop, market and transition to volume production new or enhanced products and in a cost-effective and timely manner;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timing and number of tape-outs and other significant R&amp;D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 to attract, retain and motivate a highly skilled workforce, including R&amp;D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disputes;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These and other factors make it difficult for us to forecast and could materially adversely affect our quarterly or annual operating results. We could fail to achieve the operating targets that we have announced, such as revenue growth, gross margin, and operating margin. In addition, our operating results in the future may be below the expectations of securities analysts or investors, which would likely cause the market price of our ADSs to decline. Any variations in our period-to-period performance may also cause the market price of our ADSs to decline. Accordingly, you should not rely on the results of any prior periods as a reliable indicator of our future operating performance.</w:t>
      </w:r>
    </w:p>
    <w:p>
      <w:pPr>
        <w:spacing w:after="0" w:line="284" w:lineRule="exact"/>
        <w:rPr>
          <w:sz w:val="20"/>
          <w:szCs w:val="20"/>
          <w:color w:val="auto"/>
        </w:rPr>
      </w:pPr>
    </w:p>
    <w:p>
      <w:pPr>
        <w:ind w:left="340" w:right="820"/>
        <w:spacing w:after="0" w:line="277" w:lineRule="auto"/>
        <w:rPr>
          <w:sz w:val="20"/>
          <w:szCs w:val="20"/>
          <w:color w:val="auto"/>
        </w:rPr>
      </w:pPr>
      <w:r>
        <w:rPr>
          <w:rFonts w:ascii="Arial" w:cs="Arial" w:eastAsia="Arial" w:hAnsi="Arial"/>
          <w:sz w:val="18"/>
          <w:szCs w:val="18"/>
          <w:b w:val="1"/>
          <w:bCs w:val="1"/>
          <w:i w:val="1"/>
          <w:iCs w:val="1"/>
          <w:color w:val="auto"/>
        </w:rPr>
        <w:t>The COVID-19 pandemic continues to impact our business and could materially adversely affect our financial condition and results of operations.</w:t>
      </w:r>
    </w:p>
    <w:p>
      <w:pPr>
        <w:spacing w:after="0" w:line="6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business has been, and will continue to be, adversely impacted by the effects of the ongoing COVID-19 pandemic. The degree to which COVID-19, and variants of COVID-19, impacts our results of operations will depend on future developments, which are highly uncertain and cannot be predicted, including, but not limited to, the duration and severity of the pandemic, the actions taken to contain the virus or treat its impact including the ongoing roll out of vaccinations, other actions taken by governments, businesses and individuals in response to the virus and resulting economic disruption and how quickly and to what extent normal economic and operating conditions can resume. We are similarly unable to predict the extent of the impact of the pandemic on our customers and suppliers and their financial conditions, but a material effect on them could also materially adversely affect us.</w:t>
      </w:r>
    </w:p>
    <w:p>
      <w:pPr>
        <w:spacing w:after="0" w:line="19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pandemic has resulted in governments imposing and businesses implementing numerous measures to try to contain the virus, such as travel bans and restrictions, quarantines, shelter-in-place, social distancing and shutdowns. These measures have impacted and may further impact our workforce and operations, the operations of our customers and suppliers, including third-party manufacturers and supply chain, and our ability to conduct business with both our customers and suppliers.</w:t>
      </w:r>
    </w:p>
    <w:p>
      <w:pPr>
        <w:spacing w:after="0" w:line="18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pandemic has caused us to modify our business practices, including restricting employee travel, enforcing work-from-home and social distancing and canceling physical meetings, events, and conferences. We may take further actions as required by government authorities, or that we determine are in the best interests of our employees, customers and suppliers. Work-from-home and other measures introduce additional operational risks, including cybersecurity risks, and have affected the way we conduct our product development, validation and qualification, business development, sales and customer support, as well as other activities, which could have a material adverse effect on our operations. There is no certainty that such measures will be sufficient to mitigate the risks posed by the virus, and illness and workforce disruptions could lead to unavailability of key personnel and harm our ability to perform critical functions.</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pandemic has significantly increased economic and demand uncertainty. It has caused a significant contraction in the global economy, and there is considerable uncertainty as to the severity and duration of the contraction and the timing and strength of an economic recovery. Given the continued and substantial economic uncertainty and volatility created by the pandemic, it is more difficult than normal to forecast demand for our products. In addition, the impacts of the COVID-19 pandemic will be exacerbated the longer the pandemic continues and makes it challenging for us to estimate the future performance of our business.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While some governments have recently eased some of the restrictions put in place, the emergence of variants to COVID-19 such as the delta, omicron and BA.2 variants could cause further restrictions to be put in place.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 which has been subject to significant fluctuations.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and inflation, increased energy costs, decreased consumer confidence, reduced corporate profits, decreased spending and similar adverse business conditions, would make it very difficult for our customers, our suppliers, and us to accurately forecast and plan future business activities and could cause U.S. and foreign businesses to slow spending on our products.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66"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Foundry, assembly and test capacity is currently limited due to a spike in semiconductor demand. None of our third-party foundry, assembly or test subcontractors have provided assurances that adequate capacity will be available to us.</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the COVID-19 pandemic has caused further global economic uncertainty. The impact from the rapidly changing market and economic conditions due to the COVID-19 outbreak is uncertain, disrupting the business of our customers and suppliers, and could impact our business and operating results in the future.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Inflation and inflationary pressures could have an adverse effect on our business, financial condition, results of operations and cash flows.</w:t>
      </w:r>
    </w:p>
    <w:p>
      <w:pPr>
        <w:spacing w:after="0" w:line="140"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Similar to other companies with wide operations, we are exposed to risks from fluctuations in inflation. In particular, increasing or high inflation rates could adversely affect our business by increasing the cost of raw materials, energy, labor and transportation of goods. Current or future efforts by governments where we operate to stimulate the economy may increase the risk of significant inflation. In the event of an increase in rates of inflation, we may seek to increase the sales prices of our solutions in order to maintain satisfactory profits. Such increases in prices may not be accepted by our customers and may not be sufficient to compensate us for the negative impact of inflation. Inflation might also reduce disposable income on a macro basis, eroding savings values, which could affect the demand for products that contain our solutions. If we are not able to offset the effects of increased inflation, it could have a negative effect on our business, financial condition, results of operations and cash flows.</w:t>
      </w:r>
    </w:p>
    <w:p>
      <w:pPr>
        <w:spacing w:after="0" w:line="274" w:lineRule="exact"/>
        <w:rPr>
          <w:sz w:val="20"/>
          <w:szCs w:val="20"/>
          <w:color w:val="auto"/>
        </w:rPr>
      </w:pPr>
    </w:p>
    <w:p>
      <w:pPr>
        <w:ind w:left="340" w:right="580"/>
        <w:spacing w:after="0" w:line="277" w:lineRule="auto"/>
        <w:rPr>
          <w:sz w:val="20"/>
          <w:szCs w:val="20"/>
          <w:color w:val="auto"/>
        </w:rPr>
      </w:pPr>
      <w:r>
        <w:rPr>
          <w:rFonts w:ascii="Arial" w:cs="Arial" w:eastAsia="Arial" w:hAnsi="Arial"/>
          <w:sz w:val="18"/>
          <w:szCs w:val="18"/>
          <w:b w:val="1"/>
          <w:bCs w:val="1"/>
          <w:i w:val="1"/>
          <w:iCs w:val="1"/>
          <w:color w:val="auto"/>
        </w:rPr>
        <w:t>We are subject to order and shipment uncertainties and our results of operations could be materially adversely affected if we are unable to accurately forecast customer demand.</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limited sales visibility as our customers typically do not provide us with firm, long-term purchase commitments. Additionally, our customers may also have limited sales visibility because of the rapidly changing nature of the global economy, NAND supply and demand dynamics and the markets in which devices using our products are sold.</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Substantially all of our sales are made on a purchase order basis, which permits our customers to cancel, change or delay their product purchase commitments with little or no notice to us and often without penalty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them, which limits our ability to accurately forecast sales and maintain adequate inventory levels, manufacturing capacity and operating infrastructure requirements. Our customers, most of whom are NAND flash makers and module makers, face difficulties in predicting demand for their storage devices using our products, which could result in the procurement forecast provided to us changing at short notice. The majority of our customers are building storage devices such as SSDs used in PCs and other client devices and eMMC and UFS mobile embedded storage used primarily in smartphones and other smart devices and are dependent on OEMs of these devices accurately anticipating end-consumer demand, which has historically been difficult and subject to unpredictable deviations from past sales patterns. Also, since a significant portion of our quarterly sales, especially from module maker customers targeting channel markets, are from orders received and fulfilled in that quarter, our visibility as to expected orders from these customers in subsequent periods and for any extended period of time is limited. The multiple layers of forecasts from other customers and from their customers may introduce other errors into our estimates of anticipated sales.</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ensure the availability of our products for our customers, we generally instruct our foundries to begin manufacturing our products based on forecasts provided by these customers in advance of receiving purchase orders. However, these forecasts do not represent binding purchase commitments, and sales of our products are only recognized when they are shipped with ownership transferred to the customer. As a result, we incur inventory and manufacturing costs in advance of anticipated revenue. Because demand for our products may not materialize, manufacturing based on forecasts subjects us to risks of high inventory carrying costs and increased obsolescence and may increase our costs. If we overestimate customer demand for our products or if purchase orders are cancelled or shipments delayed, we may end up with excess or obsolete inventory, which could have a material and adverse effect on our financial results. The risk of obsolescence and/or excess inventory is heightened for devices designed for consumer electronics due to short product lifecycles for these types of products. Conversely, if we underestimate demand or if insufficient manufacturing capacity is available, we may not have sufficient product inventory, which could lead to missed revenue opportunities, loss of market share, damages to our customer relationships and other harm to our business. In addition, any future significant cancellations or deferrals of product orders or the return of previously sold products could materially and adversely affect our profit margins, increase product obsolescence and restrict our ability to fund our operations.</w:t>
      </w:r>
    </w:p>
    <w:p>
      <w:pPr>
        <w:spacing w:after="0" w:line="17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Because many of our expenses are fixed in the short term or are incurred in advance of anticipated sales, we may not be able to decrease our expenses in a timely manner to offset any shortfall of sales, or expand our R&amp;D and other operating infrastructure in a timely manner to capture anticipated business opportunities. If we expand our business operations and demand for our products does not increase as we may have projected, our operating results could be affected by our higher operating expense levels. Conversely, if we maintain or reduce our business operations and related expenses in accordance with our projections and demand for our products increases more than expected, our operating results could be affected by lost business opportunities, less competitive economies of scale, and damaged relationships with our customers.</w:t>
      </w:r>
    </w:p>
    <w:p>
      <w:pPr>
        <w:spacing w:after="0" w:line="272" w:lineRule="exact"/>
        <w:rPr>
          <w:sz w:val="20"/>
          <w:szCs w:val="20"/>
          <w:color w:val="auto"/>
        </w:rPr>
      </w:pPr>
    </w:p>
    <w:p>
      <w:pPr>
        <w:ind w:left="340" w:right="20"/>
        <w:spacing w:after="0" w:line="342" w:lineRule="auto"/>
        <w:rPr>
          <w:sz w:val="20"/>
          <w:szCs w:val="20"/>
          <w:color w:val="auto"/>
        </w:rPr>
      </w:pPr>
      <w:r>
        <w:rPr>
          <w:rFonts w:ascii="Arial" w:cs="Arial" w:eastAsia="Arial" w:hAnsi="Arial"/>
          <w:sz w:val="16"/>
          <w:szCs w:val="16"/>
          <w:b w:val="1"/>
          <w:bCs w:val="1"/>
          <w:i w:val="1"/>
          <w:iCs w:val="1"/>
          <w:color w:val="auto"/>
        </w:rPr>
        <w:t>The demand for our products depends in part on the market conditions in the industries into which they are sold. Fluctuations in demand for our products or a market decline in any of these industries could have a material adverse effect on our results of operations.</w:t>
      </w:r>
    </w:p>
    <w:p>
      <w:pPr>
        <w:spacing w:after="0" w:line="1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Industry-wide fluctuations in the PC and smartphone markets could have a materially adverse effect on our operating results. A large portion of our controller sales are for the PC and smartphone markets, both of which have in recent years experienced flat-to-declining sales trends because of market saturation and longer replacement cycles. There is no assurance that strong demand for notebook PCs in 2020 and 2021 as a result of work- and learn-from-home dynamics will continue as the COVID-19 pandemic progresses and weaker demand for smartphones as a result of the pandemic will be offset by increasing demand in subsequent periods as the pandemic begins to abate.</w:t>
      </w:r>
    </w:p>
    <w:p>
      <w:pPr>
        <w:spacing w:after="0" w:line="17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benefitted and should continue to benefit from technological changes in PCs and other client devices and in smartphones and tablets, such as the replacement of HDDs with SSDs in PCs and other client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devices and the replacement of eMMC with UFS mobile embedded storage in smartphones and tablets. When a significant majority of PCs and client devices have adopted SSDs and smartphones and tablets have adopted UFS, we expect growth in demand for controllers for client SSDs and UFS will decelerate and stop. Smartphones and tablets have in recent years cannibalized the sale of PCs and it is possible smartphones and tablets could be replaced by other types of mobile computing and communications devices, and these changes could also lead to unfavorable demand for our products.</w:t>
      </w:r>
    </w:p>
    <w:p>
      <w:pPr>
        <w:spacing w:after="0" w:line="15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market for storage devices using NAND flash components has experienced rapid technological changes, could be subject to industry consolidation and could face competition from new technologies. NAND flash technology will continue to evolve rapidly with continued cost reductions, which could lead to new types of solid state storage devices, new applications and new categories of customers and market segments where we could be comparatively disadvantaged. The market for solid state storage devices is relatively fragmented with many suppliers that include NAND flash makers, module makers and OEMs, and if the market were to consolidate, a trend experienced by other parts of the semiconductor and storage industries, we could face changing demand for our products, replacement of our products by those of our competitors or internal captive sources and reduced market opportunities. If solid state storage devices were to use other types of non-volatile memory technologies other than NAND flash and we do not have relevant and competitive controller technology, our addressable market for controllers could shrink.</w:t>
      </w:r>
    </w:p>
    <w:p>
      <w:pPr>
        <w:spacing w:after="0" w:line="165" w:lineRule="exact"/>
        <w:rPr>
          <w:sz w:val="20"/>
          <w:szCs w:val="20"/>
          <w:color w:val="auto"/>
        </w:rPr>
      </w:pPr>
    </w:p>
    <w:p>
      <w:pPr>
        <w:jc w:val="both"/>
        <w:ind w:left="120" w:right="340" w:firstLine="440"/>
        <w:spacing w:after="0" w:line="279" w:lineRule="auto"/>
        <w:rPr>
          <w:sz w:val="20"/>
          <w:szCs w:val="20"/>
          <w:color w:val="auto"/>
        </w:rPr>
      </w:pPr>
      <w:r>
        <w:rPr>
          <w:rFonts w:ascii="Arial" w:cs="Arial" w:eastAsia="Arial" w:hAnsi="Arial"/>
          <w:sz w:val="17"/>
          <w:szCs w:val="17"/>
          <w:color w:val="auto"/>
        </w:rPr>
        <w:t>The market for controllers is composed of the merchant market and captive market. We are an independent merchant supplier of controllers to NAND flash maker, module maker and OEM customers. All of the major NAND flash makers also have internal captive sources of controllers. The merchant market for controllers could shrink if the NAND flash makers were to expand their usage of captive sources of controllers. In the past, our operating results were negatively affected when NAND flash customers chose to insource controllers.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pursue acquisitions, investments and dispositions, which could adversely affect our results of operations.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growth strategy includes the acquisition of, and investment in, businesses that offer complementary products, services and technologies, augment our market coverage, or enhance our technological capabilities. Our past acquisitions include Shannon Systems in 2015 and Bigtera in 2017. Our investments include Deep Vision in 2018, 2020 and 2021 and BIWIN Storage Technology Corp. (referred to herein as “BIWIN”) in 2021. We may not be able to identify suitable acquisition or investment opportunities, or to consummate any such transactions. In addition, our original estimates and assumptions used in assessing any transaction may be inaccurate and we may not realize the expected financial or strategic benefits of any such transaction.</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Any acquisition we may undertake involves risks and uncertainties, such as unexpected delays, challenges and related expenses, and the associated diversion of management’s attention. We may become subject to legal proceedings relating to the acquisition and the integration of acquired businesses may not be successful. The integration of an acquired business involves significant challenges, including, among others: potential disruption of our business, diversion of management’s attention from daily operations and the pursuit of other opportunities, incurring significant restructuring charges and amortization expense, assuming liabilities and ongoing lawsuits, potential impairment of acquired goodwill and other intangible assets, increasing our expenses and working capital requirements, and implementing our management information systems, operating systems and internal controls for the acquired operations. In addition, our due diligence process may fail to identify significant issues with the acquired company’s products, financial disclosures, accounting practices, legal, tax and other contingencies and compliance with local laws and regulations. These difficulties may be complicated by factors such as the size of the business or entity acquired, geographic and cultural differences, lack of experience operating in the industry or geographic markets of the acquired business, potential loss of key employees and customers, the potential for deficiencies in internal controls at the acquired or combined business, performance problems with the acquired business’ technology, exposure to unanticipated liabilities of the acquired business, insufficient revenue to offset increased expenses associated with the acquisition, adverse tax consequences and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our potential inability to achieve the growth prospects or synergies expected from any such acquisition. Failure to manage and successfully integrate the acquisitions we make, or to improve sales and margins of the acquired businesses, could materially harm our business, operating results and margins.</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Any future acquisitions we make may require debt or equity financing, which, in the case of debt financing, would increase our leverage and interest expenses, and in the case of equity financing, would be dilutive to our existing stockholders. Acquisitions made with cash would reduce our cash reserves.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From time to time, we may also seek to divest or wind down portions of our business, either acquired or otherwise, or we may exit investments, each of which could materially affect our cash flows and results of operations. On May 31, 2019, we completed the sale of our FCI RF IC product line to Dialog Semiconductor. Any future disposition we may make could involve risks and uncertainties, including our ability to sell such business on terms acceptable to us, or at all as well as the additional legal expenses involved. In addition, any such disposition could result in disruptions to other parts of our business, potential loss of employees or customers, or exposure to unanticipated liabilities or ongoing obligations to us following any such disposition. For example, in connection with such disposition, we may enter into transition services agreements or agree to provide certain indemnities to the purchaser, which may result in additional expenses and may adversely affect our financial condition and results of operations.</w:t>
      </w:r>
    </w:p>
    <w:p>
      <w:pPr>
        <w:spacing w:after="0" w:line="274"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b w:val="1"/>
          <w:bCs w:val="1"/>
          <w:i w:val="1"/>
          <w:iCs w:val="1"/>
          <w:color w:val="auto"/>
        </w:rPr>
        <w:t>We depend on a few large customers for a significant portion of our revenues and a loss of some of these customers would result in the loss of a significant portion of our revenues.</w:t>
      </w:r>
    </w:p>
    <w:p>
      <w:pPr>
        <w:spacing w:after="0" w:line="6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derived a substantial portion of our revenue from sales to a relatively small number of customers. As a result, the loss of any significant customer could materially and adversely affect our financial condition and results of operations. Sales to our five largest customers represented approximately 54%, 56% and 65% of our net revenue in 2019, 2020 and 2021, respectively. Sales to our significant customers represented 31%, 24% and 36% of our net revenue in 2019, 2020 and 2021, respectively. In 2021 and 2019, the significant customers were Intel and Micron and in 2020, was Micron. The identities of our largest customers and their respective contributions to our net revenue have varied and will likely continue to vary from period to period.</w:t>
      </w:r>
    </w:p>
    <w:p>
      <w:pPr>
        <w:spacing w:after="0" w:line="192"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expect that we will continue to depend on a relatively limited number of customers for a substantial portion of our net sales and our ability to maintain good relationships with these customers will be important to the ongoing success of our business. We cannot assure you that revenues generated from these customers, individually or in the aggregate, will reach or exceed historical levels in any future period. Our failure to meet the demands of these customers could lead to cancellation or reduction of businesses from these customers. In addition, any loss, cancellation or reduction of businesses from, significant change in scheduled deliveries to, or decrease in the prices of products sold to any of these customers could significantly reduce our revenues and adversely affect our financial condition and operating results. Moreover, any difficulty in collecting outstanding amounts due from our customers particularly customers who place large orders, would harm our financial performance. In addition, if our relationships with our largest customers are disrupted for any reason, it could have a significant impact on our business.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NAND industry cyclicality could adversely affect our growth and profitability.</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The NAND industry is highly capital intensive and regularly experiences cycles of shortages and excess supply and related rapid increases and sharp decreases in NAND component prices. The price of solid state storage devices, such as SSDs and eMMC and UFS devices, in which NAND accounts for a significant portion of material cost, could also rise and fall with NAND component prices. Falling prices for solid state storage devices could trigger stronger market demand for these devices as well as controllers used in them, and conversely, rising prices for solid state storage devices could cause demand for these devices as well as controllers used in them to fall, which could negatively affect our sales and profitability.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Additionally, during periods of NAND shortage, our sales and profitability could be negatively affected in other ways, including, but are not limited to: (i) our module maker and OEM storage customers may not be able to procure sufficient supplies of NAND components, which could lead to reduced demand for our controllers; (ii) we may not be able to procure sufficient supplies of NAND components for our Shannon data center SSDs and Ferri industrial SSDs, which could lead to reduced sales of our SSD solutions, and furthermore, to higher cost of procured NAND components and reduced SSD solutions profitability; (iii) NAND manufacturers may divert NAND supply away from their own storage products that use our controllers towards other customers or products that do not use our controllers, and our sales could be reduced.</w:t>
      </w:r>
    </w:p>
    <w:p>
      <w:pPr>
        <w:spacing w:after="0" w:line="17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During periods of NAND excess supply when NAND prices are falling sharply, our sales and profitability could also be negatively affected, including, but are not limited to: (i) NAND manufacturers facing reduced demand for NAND components and storage devices may temporarily build NAND inventory instead of selling at lower prices, and this may cause a reduction in controller demand; (ii) module maker customers that are exposed to volatile NAND pricing conditions may temporarily become more cautious in procuring NAND components, which could lead to reduced levels of controller procurement and storage device production; (iii) OEMs may temporarily limit procurement of storage devices in expectation of procuring more at a later date and at a lower price, which could restrain storage device and associated controller procurement; and (iv) NAND vendor and module maker customers that are under margin pressure because of falling NAND prices may seek price concessions from their controller suppliers.</w:t>
      </w:r>
    </w:p>
    <w:p>
      <w:pPr>
        <w:spacing w:after="0" w:line="274"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If we fail to accurately anticipate and respond to market trends or fail to develop and introduce new or enhanced products to address these trends on a timely basis, our ability to attract and retain customers could be impaired and our competitive position could be harmed.</w:t>
      </w:r>
    </w:p>
    <w:p>
      <w:pPr>
        <w:spacing w:after="0" w:line="1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Our success depends to a significant extent on the development, qualification, implementation and acceptance of new product designs and improvements that provide value to our customers. Our ability to develop, qualify and distribute, and have manufactured, new products and related technologies to meet evolving industry requirements, at prices acceptable to our customers and on a timely basis are significant factors in determining our competitiveness in our target markets. For example, for our products addressing the SSD market, we must successfully identify customer requirements and design, develop and produce products on time that compete effectively as to price, functionality and performance. We sell products in markets that are characterized by rapid technological change, evolving industry standards, frequent new product introductions, smaller process geometries and other factors. We cannot assure you that our efforts to execute our product roadmap will result in innovative products and technologies that provide value to our customers. If we fail to or are delayed in developing, qualifying or shipping new products or technologies that provide value to our customers and address these new trends and adjust our business accordingly, we may lose competitive positioning, which could cause us to lose market share and require us to discount the selling prices of our products. Although we make substantial investments in research and development, we cannot be certain that we will be able to develop and successfully bring to market new products and technologies on a timely basis or that they will be well-received by our customers. Moreover, our investments in new products and technologies involve certain risks and uncertainties and could disrupt our ongoing business. New investments may not generate sufficient revenue, may incur unanticipated liabilities and may divert our limited resources and distract management from our current operations. We cannot be certain that our ongoing investments in new products and technologies will be successful, will meet our expectations and will not adversely affect our reputation, financial condition and operating results.</w:t>
      </w:r>
    </w:p>
    <w:p>
      <w:pPr>
        <w:spacing w:after="0" w:line="16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that our future success depends on our ability to develop and introduce new technologies and products for new applications to generate new sources of revenue to replace, or build upon, existing product revenue for applications that are mature or in secular decline. If we are not able to repeatedly introduce, in successive years, new products for new applications that ship in volume, our revenue will likely not grow and may decline significantly and rapidly. In the past, we were able to successfully grow our revenue by adding over time successive categories of new controller technologies for new applications, such as memory card and flash</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drive controllers for external storage, eMMC and UFS mobile embedded memory controllers for smartphones and SSD controllers for PCs and other client devices. If we are unable to successfully expand our sales of SSD controllers for data center and enterprise applications, our prospects for continued revenue growth could be adversely affected.</w:t>
      </w:r>
    </w:p>
    <w:p>
      <w:pPr>
        <w:spacing w:after="0" w:line="292"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b w:val="1"/>
          <w:bCs w:val="1"/>
          <w:i w:val="1"/>
          <w:iCs w:val="1"/>
          <w:color w:val="auto"/>
        </w:rPr>
        <w:t>Our gross margin and results of operations may be adversely affected in the future by a number of factors, including decreases in average selling prices of products over time and shifts in our product mix.</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gross margin is highly dependent on product mix, especially the mix of higher gross margin controller sales and lower gross margin SSD solutions sales. A shift in sales mix away from our higher margin products could adversely affect our gross profitability as a percentage of sales and could also adversely affect our operating profitability. The primary elements of our controller cost of sales are IC fabrication at our foundries, assembly and testing, and in contrast, the primary cost of sales of our SSD solutions, which are primarily our Shannon data center SSDs and Ferri industrial SSDs, is NAND flash components. Our SSD solutions gross margin is lower than our controller gross margin because these products are generally less differentiated and we have limited ability to mark-up the cost of NAND flash components that we procure.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controllers we develop and sell are used for high volume applications and their average selling prices have historically decreased over time, and we believe that it is possible they may also fall in the future. We may experience period-to-period fluctuations in future operating results if our average selling prices decline. We may be forced to reduce the average unit price of our products in response to new product introductions by our competitors, competitive pricing pressures and other factors. Also, we often provide large customers with volume-related, price-discount incentives relating to their orders of specific products; if customer procurements that benefit from these incentives scale significantly, they could lead to downward pressure on our gross margins. The mobile and computing devices markets are extremely competitive, which may result in rapidly declining average selling prices of electronic devices and components, such as those made by us, and create downward pressure on our average selling prices and operating results. To maintain acceptable operating results, we will need to develop and introduce new products and product enhancements on a timely basis and continue to reduce our costs. If we are unable to offset any reductions in our average selling prices by increasing our sales volumes or reducing corresponding production costs or if we fail to develop and introduce new products and enhancements on a timely basis, our sales and operating results will be materially and adversely affected.</w:t>
      </w:r>
    </w:p>
    <w:p>
      <w:pPr>
        <w:spacing w:after="0" w:line="18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have changed our commercial arrangement with a few of our SSD solutions customers to a NAND consignment arrangement, where our customers procure and maintain ownership of the NAND flash components used in the SSD solutions that we design and build for them, and the gross margins of these types of sales are higher than the sales of products where we are responsible for procuring NAND flash components. We cannot assure you that in the future, we can increase the proportion of SSD solutions sales using a NAND consignment arrangement and if more sales are conducted using a NAND consignment arrangement, this will lead to improvements in our operating results.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Solid State Drive, or SSD, solutions product performance could continue to adversely affect our results of operations.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are primarily a fabless semiconductor company focused on NAND flash controllers and the sales of these controllers account for a significant majority of our overall sales. In addition, we also sell SSD solutions, mostly Ferri industrial SSDs and Shannon enterprise SSDs, but also Bigtera software-defined storage solutions and appliances. We introduced our Ferri products in 2011, acquired Shannon in 2015 for US$45.6 million, acquired Bigtera in 2017 for US$4.7 million and are developing our FlashGo all-flash array storage solution. Both our Shannon and Bigtera acquisitions have not met financial expectations to date, have been dilutive to our gross margins, operating margins and earnings per ADS, and had led to US$16.0 million and US$17.5 million write-down of Shannon goodwill and intangible assets in 2019 and 2020, US$4.1 million write-down of Bigtera goodwill and intangible assets in 2018; we cannot provide assurance that in the future, we will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be able to sell our Shannon and Bigtera products profitably or if we will incur further write downs of inventories. If we are able to expand the sales of our SSD solutions, we cannot provide assurance that expanded sales of these products will not negatively affect our gross margin and operating margin, which could negatively affect the market price of our ADSs. Furthermore, even if we are able to sell our SSD solutions to customers profitably, our return on invested capital for SSD solutions will likely be materially lower than our corporate average primarily because of lower product profitability and higher investments, mainly for working capital necessary for financing NAND and other inventory, and this could negatively affect our overall financial return and the market price of our ADSs.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SSD solutions are modules, software and appliances, which are different from our primary controller products, which are integrated circuits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have different financial characteristics. Our SSD solutions gross margin is materially lower than our controller gross margin because these products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are generally less differentiated and, in the case of our Ferri and Shannon SSDs, where NAND flash components are the majority of their cost of sales,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limited ability to mark-up the cost of NAND flash components that we procure. We are also subject to NAND price volatility with our Ferri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Shannon SSDs; because of rapidly falling NAND prices, we wrote-down US$8.4 million of NAND components and SSDs in inventory in 2019,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US$5.5 million in 2020 and US$4.3 million in 2021. With our Bigtera products, we have had issues with sales returns, with US$2.5 million in 2019.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cannot assure you that in the future our results of operations will not be negatively affected by further NAND component and SSD inventory write-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downs and Bigtera sales returns.</w:t>
      </w:r>
    </w:p>
    <w:p>
      <w:pPr>
        <w:spacing w:after="0" w:line="31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The loss of any of our key personnel or the failure to attract or retain specialized technical and management personnel could impair our ability to grow our business.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rely heavily on the services of our key employees, including Wallace C. Kou, our President and Chief Executive Officer. In addition, our engineers and other highly skilled personnel are a significant asset and are the source of our technological and product innovations. We believe our future success will depend upon our ability to attract and retain skilled managerial, engineering and sales and marketing personnel. The competition for such personnel, particularly engineering personnel, is intense in our industry. We may not be successful in attracting and retaining sufficient numbers of engineering personnel to support our anticipated growth. These personnel are required to design and develop integrated circuits, including firmware, and to introduce product enhancements for use in future applications. Despite the incentives we provide, our current employees may not continue to work for us, and if additional personnel were required for our operations, we may not be able to obtain the services of additional personnel necessary for our growth. In addition, we do not maintain “key person” life insurance for any of our senior executives or other key employees. The loss of any of our key employees or our inability to attract or retain qualified personnel, including engineers, could delay the development and introduction of, and have an adverse effect on our ability to sell, our products as well as have an adverse effect on our overall growth. In addition, if any other members of our senior management or any of our other key personnel join a competitor or form a competing company, we may not be able to replace them easily and we may lose customers, business partners, key professionals and staff members. Substantially all of our senior executives and key personnel have entered into confidentiality and non-disclosure agreements. In the event of a dispute between any of our senior executives or key personnel and our operating companies in Taiwan and other foreign countries, we cannot assure you the extent, if any, to which these provisions may be enforceable in Taiwan or other foreign countries due to the constantly evolving nature of their respective legal systems.</w:t>
      </w:r>
    </w:p>
    <w:p>
      <w:pPr>
        <w:spacing w:after="0" w:line="275"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b w:val="1"/>
          <w:bCs w:val="1"/>
          <w:i w:val="1"/>
          <w:iCs w:val="1"/>
          <w:color w:val="auto"/>
        </w:rPr>
        <w:t>We rely on independent semiconductor foundries and subcontractors for the fabrication, assembly and testing of our integrated circuits, and any limitation of their available capacity to us or failure to fulfill our orders satisfactorily could damage our relationships with our customers, decrease our sales or limit our ability to grow our business.</w:t>
      </w:r>
    </w:p>
    <w:p>
      <w:pPr>
        <w:spacing w:after="0" w:line="7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do not own or operate semiconductor fabrication facilities. Instead, we rely on third parties to manufacture our semiconductors. Two outside foundries, primarily Taiwan Semiconductor Manufacturing Company (“TSMC”) and secondarily Semiconductor Manufacturing International Corporation (“SMIC”)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fabricate our semiconductors. As a result, we face several significant risks, including wafer cost, availability of wafers and other raw materials, manufacturing capacity, quality assurance, manufacturing yields and production costs, control over delivery schedules and product quality, control of our intellectual property, labor availability or strikes and actions taken by third party contractors that breach our agreements.</w:t>
      </w:r>
    </w:p>
    <w:p>
      <w:pPr>
        <w:spacing w:after="0" w:line="16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ability of each foundry to provide us with semiconductors is limited by its available capacity and access to wafers, and the ability of each subcontractor to assemble and test our products is limited by available capacity and substrates and other raw materials. We do not have long-term agreements with any of these foundries and subcontractors and we place our orders based on our customers’ purchase orders and sales forecasts. However, the foundries and subcontractors can allocate capacity to the fabrication, assembly and testing of the products of their other customers and reduce deliveries to us on short notice or increase the price they charge us. It is possible that other foundry and subcontractor customers that are larger and better financed than we are, or have long-term agreements with these foundries and subcontractors, may induce these foundries and subcontractors to reallocate capacity to them which could impair our ability to secure manufacturing, assembly and testing capacity that we need for our products. Other factors that could materially adversely affect our business and results of operation include, but are not limited to, our foundries and subcontractors being unable to secure the necessary raw materials from their suppliers, experience power outages, lack sufficient capacity to manufacture our products or suffer other disruption or reduction in efficiency. If our foundries fail to deliver fabricated silicon wafers of satisfactory quality in the volume and at the price we require, or if our assembly and testing subcontractors fail to efficiently and accurately assemble and test our products, we will be unable to meet our customers’ demand for our products or to sell those products at an acceptable profit margin, which would have a material and adverse effect on our sales and margins and damage our customer relationships.</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Currently, the global supply of semiconductor industry fabrication capacity is not sufficient to meet the demand for semiconductor products. Our primary foundry TSMC expects its capacity to remain tight in 2022. SMIC is also experiencing a shortage of capacity. We do not expect to have sufficient foundry capacity to meet all of our customers’ demand for our products in 2022 and there is no assurance we will have sufficient foundry capacity in 2023. This shortage of foundry capacity, as well as other disruptions to our supply chain, will limit our ability to grow our business and could damage our customer relationships.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interruptions to the wafer manufacturing processes caused by a natural disaster or human error could result in partial or complete disruption in supply until manufacturing is re-started or we are able to shift manufacturing to another fabrication facility. It may not be possible to obtain sufficient capacity or comparable production costs at another foundry. Migrating our design methodology to a new third-party foundry could involve increased costs, resources and development time comparable to a new product development effort. Any reduction in the supply of semiconductors for our products could significantly delay our ability to ship our products and potentially have negative effects on our relationships with existing customers and our results of operations. In addition, if our subcontractors terminate their relationships with us, we would be required to qualify new subcontractors, which could take at least six months, resulting in unforeseen operating problems, and our operating results may be materially and adversely affected.</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manufacture of semiconductors is a highly complex process. Minor deviations in the manufacturing process can cause substantial decreases in yield. In some situations, such deviations may cause production to be suspended. The foundries that manufacture our semiconductors have from time to time experienced lower than anticipated manufacturing yields, including yields for our semiconductors, typically during the production of new products or architectures or during the installation and start-up and ramp-up of new process technologies or equipment. If the foundries that manufacture our semiconductors do not achieve planned yields, our product costs could increase and product availability would decrease.</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After the wafer fabrication processes, our wafers are shipped to our assembly and testing subcontractors. We have a system to maximize consistent product quality, reliability and yield that involves our quality assurance team working closely with subcontractors in the various phases of the assembly and testing processes.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supplier quality management includes procedures such as processes to pre-qualify our manufacturing suppliers and subcontractors. If our subcontractors do not achieve planned product quality, reliability and yield during the assembly and testing processes, our product cost could increase, product availability could decrease, or our customers may not accept products manufactured for them.</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Failure to protect our intellectual properties or maintain the right to certain other technologies may negatively affect our ability to compete.</w:t>
      </w:r>
    </w:p>
    <w:p>
      <w:pPr>
        <w:spacing w:after="0" w:line="14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We believe that the protection of our intellectual property rights and continued access to certain third-party technology are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business partners and other third parties, and have implemented procedures to control access to and distribution of our documentation and other proprietary information. Despite these efforts, we cannot assure you that these measures will provide meaningful protection of our intellectual property rights. Further, these agreements do not prevent others from independently developing technologies that are equivalent to or superior to our technology. In addition,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such as Taiwan and China where the laws may not protect our proprietary rights as fully as do the laws of the United States. In addition, if the foundries that manufacture our semiconductors lose control of our intellectual property, it could be more difficult for us to take remedial measures because our foundries are located in countries that do not have the same protection for intellectual property that is provided in the United States. Also, some of our contracts, including license agreements, are subject to termination upon certain types of change-of-control transactions.</w:t>
      </w:r>
    </w:p>
    <w:p>
      <w:pPr>
        <w:spacing w:after="0" w:line="168" w:lineRule="exact"/>
        <w:rPr>
          <w:sz w:val="20"/>
          <w:szCs w:val="20"/>
          <w:color w:val="auto"/>
        </w:rPr>
      </w:pPr>
    </w:p>
    <w:p>
      <w:pPr>
        <w:ind w:left="120" w:right="340" w:firstLine="440"/>
        <w:spacing w:after="0" w:line="275" w:lineRule="auto"/>
        <w:rPr>
          <w:sz w:val="20"/>
          <w:szCs w:val="20"/>
          <w:color w:val="auto"/>
        </w:rPr>
      </w:pPr>
      <w:r>
        <w:rPr>
          <w:rFonts w:ascii="Arial" w:cs="Arial" w:eastAsia="Arial" w:hAnsi="Arial"/>
          <w:sz w:val="17"/>
          <w:szCs w:val="17"/>
          <w:color w:val="auto"/>
        </w:rPr>
        <w:t>As of March 31, 2022, we have 2,144 patents and 1,253 pending applications worldwide.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or provide only limited protection for our technologies. We also cannot be certain that others will not design around our patented technology, independently develop our unpatented proprietary technology or develop effective competing technologies on their own.</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successfully defend against intellectual property lawsuits brought against us may adversely affect our business.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Companies in and related to the semiconductor industry often aggressively protect and pursue their intellectual property rights. From time to time, we have received, and may continue to receive, notices that claim we have infringed upon, misappropriated or misused other parties’ proprietary rights. Moreover, in the past we were in litigation with parties that claimed that we infringed their patents or misappropriated or misused their trade secrets. In addition, we or our customers may be sued by other parties that claim that our products have infringed their patents or misappropriated or misused their trade secrets, or that may seek to invalidate one or more of our patents. An adverse determination in any of these types of disputes could prevent us from manufacturing or selling some of our products, increase our costs of revenue and expose us to significant liability. Any of these claims may materially and adversely affect our business, financial condition and results of operations. For example, in a patent or trade secret action, a court could issue a preliminary or permanent injunction that would require us or our customer(s) to withdraw or recall certain products from the market or redesign certain products offered for sales or under development. We may also be liable for damages for past infringement and royalties for future use of certain technologies. See “Item 8. Legal Proceedings” below.</w:t>
      </w:r>
    </w:p>
    <w:p>
      <w:pPr>
        <w:spacing w:after="0" w:line="18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any litigation to defend ourselves against claims that we have infringed the intellectual property rights of others, could, regardless of the ultimate outcome, materially and adversely affect our operating results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requiring us to incur significant legal expenses and diverting the resources of the company and the attention of our management team.</w:t>
      </w:r>
    </w:p>
    <w:p>
      <w:pPr>
        <w:spacing w:after="0" w:line="33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Because the markets in which we compete are highly competitive and many of our competitors have greater resources than we have, we cannot be certain that our products will compete favorably in the marketplace.</w:t>
      </w:r>
    </w:p>
    <w:p>
      <w:pPr>
        <w:spacing w:after="0" w:line="6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face competition from a number of competitors, including Marvell and Phison, our flash memory customers and smaller merchant suppliers in China. We expect to face competition in the future from our current and potential competitors. In addition, some of our flash memory customers have developed products and technologies that could replace their need for our products or otherwise reduce their demand for our products.</w:t>
      </w:r>
    </w:p>
    <w:p>
      <w:pPr>
        <w:spacing w:after="0" w:line="14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Some of our current and potential competitors have longer operating histories, greater name recognition, access to larger customer bases and significantly greater financial, sales and marketing, manufacturing, distribution, technical and other resources than we have. As a result, they may be able to respond more quickly to changing customer demands or to devote greater resources to the development, promotion and sales of their products than we can. Our current and potential competitors may develop and introduce new products that will be priced lower, provide superior performance or achieve greater market acceptance than our products. For our SSD solutions, if we are unable to procure sufficient supplies of NAND flash components and at terms that enable our products to be competitive in terms of price or develop technologically competitive products, our customers may seek to purchase SSD solutions from other suppliers.</w:t>
      </w:r>
    </w:p>
    <w:p>
      <w:pPr>
        <w:spacing w:after="0" w:line="285" w:lineRule="exact"/>
        <w:rPr>
          <w:sz w:val="20"/>
          <w:szCs w:val="20"/>
          <w:color w:val="auto"/>
        </w:rPr>
      </w:pPr>
    </w:p>
    <w:p>
      <w:pPr>
        <w:ind w:left="340" w:right="420"/>
        <w:spacing w:after="0" w:line="342" w:lineRule="auto"/>
        <w:rPr>
          <w:sz w:val="20"/>
          <w:szCs w:val="20"/>
          <w:color w:val="auto"/>
        </w:rPr>
      </w:pPr>
      <w:r>
        <w:rPr>
          <w:rFonts w:ascii="Arial" w:cs="Arial" w:eastAsia="Arial" w:hAnsi="Arial"/>
          <w:sz w:val="16"/>
          <w:szCs w:val="16"/>
          <w:b w:val="1"/>
          <w:bCs w:val="1"/>
          <w:i w:val="1"/>
          <w:iCs w:val="1"/>
          <w:color w:val="auto"/>
        </w:rPr>
        <w:t>Our products must meet exacting specifications and undetected defects and failures may occur, which may cause customers to return or stop buying our products and may expose us to product liability risk and risks of indemnification against defects in our products.</w:t>
      </w:r>
    </w:p>
    <w:p>
      <w:pPr>
        <w:spacing w:after="0" w:line="1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products are complex and may contain undetected hardware or software defects or failures, especially when first introduced or when new versions are released. These errors could cause us to incur significant re-engineering costs, divert the attention of our engineering personnel from other important product development efforts and materially affect our customer relations and business reputation. If we deliver products with errors or defects, our credibility and the market acceptance and sales of our products could be harmed. Defects could also lead to liability for defective products as a result of lawsuits against us or against our customers. We have agreed to indemnify some of our customers in some circumstances against liability from defects in our products. Asuccessful warranty or product liability claim could require us to make significant payments.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intellectual property indemnification practices may adversely impact our business.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be required to indemnify our customers and our third-party intellectual property providers for certain costs and damages of intellectual property infringement in circumstances where our products are a factor in creating infringement exposure. In the contracts under which we sell semiconductor products, we may have agreed to indemnify our customers against losses arising out of claims of unauthorized use of intellectual property. In some of our licensing agreements, we have agreed to indemnify the licensee against losses arising out of or related to our conduct or services. We cannot assure you that claims for indemnification will not be made or that these claims would not have a material and adverse effect on our business, operating results or financial condition.</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exposed to potential impairment on investments.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made investments in private companies and have approximately US$8.5 million of investments as of December 31, 2021. If the companies that we invested in are unable to execute their plans and succeed in their respective markets, we may not benefit from such investments, and we could potentially lose the amounts we invested. We evaluate our investment portfolio on a regular basis to determine if impairments have occurred. If the operations of any businesses that we have invested decline significantly, we could incur impairment charges that could have a material impact on our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Any failure to achieve and maintain effective internal controls could have a material adverse effect on our business, results of operations and the market price of our ADSs.</w:t>
      </w:r>
    </w:p>
    <w:p>
      <w:pPr>
        <w:spacing w:after="0" w:line="62"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are subject to reporting obligations under securities laws of the United States. The Securities and Exchange Commission, or the SEC, as required by Section 404 of the Sarbanes-Oxley Act of 2002, or the Sarbanes-Oxley Act, adopted rules requiring every public company to include in its annual report management’s assessment of the effectiveness of the company’s internal controls over financial reporting. In addition, an independent registered public accounting firm must attest to and report on the effectiveness of the company’s internal controls over financial reporting.</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management and independent registered public accounting firm have concluded that our internal controls over financial reporting as of December 31, 2021 are effective. However, we cannot assure you that in the future we or our independent registered public accounting firm will not identify material weakness during the audit process or for other reasons. In addition, because of the inherent limitations of internal control over financial reporting, including the possibility of collusion or improper management override of controls, material misstatements due to error or fraud may not be prevented or detected on a timely basis. As a result, if we fail to maintain effective internal controls over financial reporting or should we be unable to prevent or detect material misstatements due to error or fraud on a timely basis, investors could lose confidence in the reliability of our consolidated financial statements, which in turn could harm our business and results of operations, negatively impact the market price of our ADSs and harm our reputation.</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cybersecurity risk.</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We experience cyberattacks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Cyberattacks are external and internal threats that include, but are not limited to, malware, phishing, advanced persistent threats, denial of service attacks, malicious software downloads, insider security breaches, and hardware and software vulnerabilities. We believe cyberattack attempts are increasing not only in number also in scope and that perpetrators of cyberattacks continue to develop increasingly sophisticated systems and means to not only attack systems and damage data, but also evade detection or obscure their activities.</w:t>
      </w:r>
    </w:p>
    <w:p>
      <w:pPr>
        <w:spacing w:after="0" w:line="16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have controls and policies in place, will continue to review and enhance our capabilities and upgrade our protective solutions to guard against known and emerging threats, detect malicious or unauthorized activities, and have recovery systems to minimize business disruptions. If efforts to breach our infrastructure and systems are successful or we are unable to protect against these risks, we could suffer interruptions, delays, or cessation of operations of our systems, and loss or misuse of proprietary or confidential information, intellectual property, or sensitive or personal information. Breaches of our infrastructure and systems could also cause our customers and other affected third parties to suffer loss or misuse of proprietary or confidential information, intellectual property,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business is subject to various governmental regulations, and compliance with these regulations may cause us to incur significant expense.</w:t>
      </w:r>
    </w:p>
    <w:p>
      <w:pPr>
        <w:spacing w:after="0" w:line="15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are subject to various state, federal and international laws and regulations governing the environment, including restricting the presence of certain substances in electronic products. In addition, we are also subject to various industry requirements restricting the presence of certain substances in electronic products. Although our management systems are designed to maintain compliance, we cannot assure you that we have been or will be at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8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all times in complete compliance with such laws and regulations. If we violate or fail to comply with any of them, a range of consequences could result, including fines, import/export restrictions, sales limitations, criminal and civil liabilities or other sanctions.</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Recently there has been increased focus on environmental protection and social responsibility initiatives, which are subject to change, can be unpredictable, and may be difficult for us to comply with, given the complexity of our supply chain and our significant outsourced manufacturing. We are required to implement various standards or processes due to the adoption of rules or regulations that result from these initiatives, such as the SEC rules on the disclosure of the use of “conflict minerals.” If we are unable to comply, or ensure that our suppliers or contract manufacturers comply, with such standards or processes, customers may stop purchasing from us, which could adversely affect our sales and results of operations.</w:t>
      </w:r>
    </w:p>
    <w:p>
      <w:pPr>
        <w:spacing w:after="0" w:line="16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business is subject to various other international laws and other legal requirements, including packaging, product content, labor and international trade regulations, such as the U.S. Export Administration Regulations and sanctions against Huawei and other companies, and applicable executive orders. These laws, regulations and orders are complex, change frequently and with limited notice, have generally become more stringent over time and have intensified as U.S.-China geopolitical tensions worsen. Although we have policies, controls, and procedures designed to help ensure compliance with applicable laws, there can be no assurance that our employees, contractors, suppliers, or agents will not violate such laws or our policies. Any such violations of trade laws, restrictions, or regulations can result in fines; criminal sanctions against us or our officers, directors, or employees; prohibitions on the conduct of our business; and damage to our reputation. We may be required to incur significant expense to comply with, or to remedy violations of, these regulations and laws. In addition, if our customers fail to comply with these regulations and laws, we may be required to suspend sales to these customers, which could damage our reputation and negatively impact our results of operations. The technology industry is subject to intense media, political, and regulatory scrutiny, which can increase our exposure to government investigations, legal actions, and penalties.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which could result in investors losing all or part of their investments.</w:t>
      </w:r>
    </w:p>
    <w:p>
      <w:pPr>
        <w:spacing w:after="0" w:line="1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Since we completed our initial public offering in June 2005, the market price of our ADSs has been and likely will continue to be highly volatile and could be subject to wide fluctuations in response to numerous factors, including but are not limited to the following:</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 or those of our competitors, customers, or NAND flash vendors;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NAND flash supply and demand dynamics;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our market share or the market share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commencement or results of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our competitors, our customers, or their other suppliers of new products or technological innovations;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and social effects of the COVID-19 virus and the emergence of additional variants to the COVID-19 virus or other pandemics;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or non-payment of cash dividends at the discretion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announcement and implementation of share repurchase programs;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divestitures or partnerships;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changes in the global economic or industry outlook.</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Many of these factors are beyond our control and may negatively impact the market price of our ADSs, regardless of our performance. In addition, the stock market in general, and the market for technology and semiconductor companies in particular, have been highly volatile. Furthermore, the trading price of our ADSs may be adversely affected by third-parties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ADSs, regardless of our operating performance. Our ADSs may not trade at the same price levels as that of other semiconductor and technology companies, and shares of semiconductor and technology companies, in general, may not sustain their current market prices. These fluctuations as well as general economic, political, and market conditions may have an adverse effect on the market price of our ADSs.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 if at all, or in any particular amounts.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January 2013, our Board of Directors declared our first quarterly cash dividend and has subsequently declared and paid dividends in each successive quarter. In November 2015, our Board changed the dividend declaration from quarterly to annually, with payments made in four quarterly installments. The decision to continue declaring dividends, if any, and their timing and amount, depends on, among other things, that the dividend payment is in the best interests of our shareholders, business visibility, our results of operations, capital availability and future capital requirements, financial condition, statutory requirements, and other factors that the Board may deem relevant and any dividend declaration is at the discretion of our Board. Our dividend payments may change from time to time, and we cannot provide assurance that we will continue to declare dividends, if at all or in any particular amounts. A reduction in or elimination of our dividend payments could have a negative effect on our share price.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are characterized as a passive foreign investment company, U.S. holders of our ADSs may experience adverse tax consequences.</w:t>
      </w:r>
    </w:p>
    <w:p>
      <w:pPr>
        <w:spacing w:after="0" w:line="14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Based on the present and projected composition of our income and valuation of our assets, we believe we are not currently classified as a passive foreign investment company (“PFIC”) for U.S. federal income tax purposes. We will generally be classified as a PFIC for any taxable year in which either (a) at least 75% of our gross income is passive income or (b) at least 50% of the value (determined on the basis of a quarterly average) of our assets is attributable to assets that produce or are held for the production of passive income. If we are characterized as a PFIC, U.S. holders of our ADSs may experience adverse tax consequences. See “ITEM 10. ADDITIONAL INFORMATION — Taxation — United States Federal Income Taxation.”</w:t>
      </w:r>
    </w:p>
    <w:p>
      <w:pPr>
        <w:spacing w:after="0" w:line="269" w:lineRule="exact"/>
        <w:rPr>
          <w:sz w:val="20"/>
          <w:szCs w:val="20"/>
          <w:color w:val="auto"/>
        </w:rPr>
      </w:pPr>
    </w:p>
    <w:p>
      <w:pPr>
        <w:ind w:left="340" w:right="160"/>
        <w:spacing w:after="0" w:line="342" w:lineRule="auto"/>
        <w:rPr>
          <w:sz w:val="20"/>
          <w:szCs w:val="20"/>
          <w:color w:val="auto"/>
        </w:rPr>
      </w:pPr>
      <w:r>
        <w:rPr>
          <w:rFonts w:ascii="Arial" w:cs="Arial" w:eastAsia="Arial" w:hAnsi="Arial"/>
          <w:sz w:val="16"/>
          <w:szCs w:val="16"/>
          <w:b w:val="1"/>
          <w:bCs w:val="1"/>
          <w:i w:val="1"/>
          <w:iCs w:val="1"/>
          <w:color w:val="auto"/>
        </w:rPr>
        <w:t>Our business, financial condition and results of operations could be adversely affected by the political and economic conditions of the countries in which we conduct business and other factors related to our international operations, such as Russia’s invasion of Ukraine.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substantial portion of our business is conducted outside of the United States and, as a result, we are subject to foreign business, political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economic risks. Most of our integrated circuits are manufactured, assembled and tested by third-parties located in China and Taiwan. We generated 86%,</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92% and 94% of our revenue in 2019, 2020 and 2021, respectively, from sales to customers outside the United States, and for the year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2021, 72% of our revenue was from sales in three jurisdictions, China, Singapore and Taiwan. Our controller research and development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conducted primarily in Taiwan and our SSD solutions research and development is conducted in both China and Taiwan. Most of our corporate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functions are located in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Taiwan. These operations are directly influenced by the political and economic conditions of the country in which they are located. We do not expect the portion of our business located outside of the United States to change in the future.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we are subject to risks associated with international operations, including but not limited to:</w:t>
      </w:r>
    </w:p>
    <w:p>
      <w:pPr>
        <w:spacing w:after="0" w:line="131" w:lineRule="exact"/>
        <w:rPr>
          <w:sz w:val="20"/>
          <w:szCs w:val="20"/>
          <w:color w:val="auto"/>
        </w:rPr>
      </w:pPr>
    </w:p>
    <w:p>
      <w:pPr>
        <w:ind w:left="1080" w:right="1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economic and political conditions, such as political tensions between countries in which we do business (please also refer to Risk Factors relating to China and Taiwan);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or impositions of, legislative or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a variety of foreign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legal standards with respect to protection of intellectual property and employment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inadequate local infrastructure that could result in business disruptions;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issues related to export or import restrictions, tariffs, quotas and other trade barriers and restrictions, including those related to the ongoing trade disputes between China and the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risks such as longer payment cycles and difficulty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taxes rules, regulations and penalties;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beyond our control such as nature disasters, terrorism, civil unrest, war, including Russia’s ongoing invasion of Ukraine, and health emergencies, such as COVID-19.</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As a result of having global operations, the sudden disruption of our supply chain and/or disruption of the manufacture of our customer’s products caused by events outside of our control could impact our results of operations by impairing our ability to timely and efficiently deliver our products.</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Although our reporting currency is the U.S. dollar, and the majority of our sales and cost of sales in the last three years are denominated in the U.S. dollar, the majority of our operating expenses are denominated in the NT dollar, and to a lesser extent, the Chinese yuan and U.S. dollar. Any unfavorable changes in foreign exchange rates could adversely affect, or cause fluctuations in, our results of operations. We do not currently engage in currency hedging activities.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operate primarily in regions that are susceptible to natural disasters.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operate primarily in regions of the world, including Taiwan, China and California, that are susceptible to earthquakes. In the past, these regions had experienced severe earthquakes that caused significant property damage and loss of life, although we did not suffer any material impact on our business. The occurrence of earthquakes is unpredictable, and a major earthquake and consequent disruptive events could severely disrupt the normal operations of our business and have a material and adverse effect on our financial condition and operating results.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substantial risks associated with doing business in Taiwan because of tense regional geopolitical risk with China.</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Most of our business operations are in Taiwan, a self-governing democracy, with a unique international political status, that is claimed by China and receives security from the United States under the Taiwan Relations Act. China asserts that Taiwan is part of China, seeks the unification of Taiwan and has not ruled out the use of force to achieve this. China is also increasingly assertive in the region and claims sovereignty over much of the South China Sea south of Taiwan and has unilaterally established an Air Defense Identification Zone, or ADIZ, in the East China Sea north of Taiwan. The United States does not recognize China’s ADIZ and conducts regular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freedom of navigation operations in the areas of the South China Sea claimed by China. In 2016, China dismissed the United Nation’s Permanent Court of Arbitration ruling against it in its claims to the South China Sea. Tensions between Taiwan and China and between the United States and China have increased in recent years.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majority of our employees and a significant portion of our research and development and corporate functions are based in Taiwan. We also operate a research and development center in Shanghai, and China is one of the largest markets for our products. In addition, all of our foundries and assembly and testing subcontractors are located in either Taiwan or China. Accordingly, our business and results of operations and the market price of our ADSs may be affected by any deterioration in the relationship between Taiwan and China. Although there are significant economic ties between Taiwan and China, in recent years China has taken a more aggressive posture towards Taiwan, including the suspension of cross-straits communications channels in 1996, regular intrusion by Chinese military aircraft into Taiwan airspace, the sailing of naval ships around Taiwan waters, the conduct of military exercises close to Taiwan, and exclusion of Taiwan from international organizations such as the World Health Organization.</w:t>
      </w:r>
    </w:p>
    <w:p>
      <w:pPr>
        <w:spacing w:after="0" w:line="166"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Furthermore, our principle executive offices are in Hong Kong. Recent pro-democracy protests and COVID-19 containment activities have affected our Hong Kong operations and China’s new national security law for Hong Kong has reduced its autonomy and could lead to further repercussions from the United States, Taiwan and other countries that more adversely affect our operating arrangements, whether commercial or regulatory in nature.</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Past and recent developments in relations between Taiwan and China have on occasion depressed the market prices of the securities of Taiwanese companies or companies with significant business activities in Taiwan. We cannot assure you that any contentious situation between Taiwan and China will always resolve in maintaining the current status quo or remain peaceful. Relations between Taiwan and China, potential confrontations between the United States and China and other factors affecting military, political, social or economic conditions in Taiwan and Hong Kong could have a material adverse effect on our financial condition and results of operations, as well as the market price and the liquidity of our ADSs.</w:t>
      </w:r>
    </w:p>
    <w:p>
      <w:pPr>
        <w:spacing w:after="0" w:line="269" w:lineRule="exact"/>
        <w:rPr>
          <w:sz w:val="20"/>
          <w:szCs w:val="20"/>
          <w:color w:val="auto"/>
        </w:rPr>
      </w:pPr>
    </w:p>
    <w:p>
      <w:pPr>
        <w:ind w:left="340" w:right="180"/>
        <w:spacing w:after="0" w:line="308" w:lineRule="auto"/>
        <w:rPr>
          <w:sz w:val="20"/>
          <w:szCs w:val="20"/>
          <w:color w:val="auto"/>
        </w:rPr>
      </w:pPr>
      <w:r>
        <w:rPr>
          <w:rFonts w:ascii="Arial" w:cs="Arial" w:eastAsia="Arial" w:hAnsi="Arial"/>
          <w:sz w:val="17"/>
          <w:szCs w:val="17"/>
          <w:b w:val="1"/>
          <w:bCs w:val="1"/>
          <w:i w:val="1"/>
          <w:iCs w:val="1"/>
          <w:color w:val="auto"/>
        </w:rPr>
        <w:t>The enactment of legislation implementing changes in taxation of international business activities, the adoption of other tax reform policies or changes in tax legislation or policies could materially impact our financial position and results of operations.</w:t>
      </w:r>
    </w:p>
    <w:p>
      <w:pPr>
        <w:spacing w:after="0" w:line="3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Legislation is introduced from time to time to reform taxation of international business activities. The Organisation for Economic Co-operation and Development, or OECD, has released guidance covering various topics, including country-by-country reporting, definitional changes to permanent establishment and guidelines in determining arm’s length transfer pricing. This guidance is collectively referred to as Base Erosion and Profit Shifting, or BEPS, an initiative that aims to standardize and modernize global tax policy. Depending on legislation ultimately enacted in connection with this guidance by jurisdictions in which we operate, there may be significant consequences for us due to our large international business activities. For example, adoption of BEPS by foreign jurisdictions in which we operate could result in changes to tax policies, including transfer-pricing policies that could ultimately impact our tax liabilities to foreign jurisdictions. If any of these proposals are enacted into law, or if other international, consensus-based tax policies and principles are amended or implemented, they could have material adverse consequences on the amount of tax we pay and thereby on our financial position and results of operations. It is likely that new legislation enacted by several governments of countries in which we operate could lead to higher operating and tax expenses for our business in the near future.</w:t>
      </w:r>
    </w:p>
    <w:p>
      <w:pPr>
        <w:spacing w:after="0" w:line="276"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A substantial amount of our stock is held by a small number of large investors and significant sales of our ADSs in the public market by one or more of these holders could cause our stock price to fall.</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31, 2021, we believe 10 of our largest holders of ADSs were active institutional investors who held approximately the equivalent of 37% of our outstanding ADSs in the aggregate, with ARGA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86"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Investment Management, LP and Avula Rama Krishna being our largest stockholder with approximately 5.6% of our ADSs. These investors may sell their ADSs at any time for a variety of reasons and such sales could depress the market price of our ADSs. In addition, any such sales of our ADSs by these entities could also impair our ability to raise capital through the sale of additional equity securities.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risks associated with development and construction of our office buildings.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September 2018, we purchased 65,700 square feet of land in Hsinchu, Taiwan for a total cost of US$58.9 million and expect to spend an estimated US$77 million for the development and construction of our future Hsinchu headquarters building, which is currently targeted for completion in 2024. On February 18, 2021, the Company won a bid with a third-party to build an office building in Taipei, Taiwan and executed a property development agreement in May 2021, with property development costs to be defined and agreed in a subsequent agreement. See “Financial Information</w:t>
      </w:r>
    </w:p>
    <w:p>
      <w:pPr>
        <w:spacing w:after="0" w:line="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Recent Developments” in Item 8 below. We have no experience developing and constructing office buildings and managing real property of this scale. We may encounter unanticipated occurrences or conditions during construction that may increase the expense of these projects. We may also encounter unanticipated delays in the construction of the new buildings and local government approvals for the projects may be delayed. We will also be required to comply with applicable environmental regulations in connection with such development. We are financing these construction projects from our cash balance, which could limit alternative deployments of capital. The purchase of the land and construction of the buildings will increase our fixed assets significantly and could reduce our return on invested capital. After the office buildings have been constructed, we may consider sale and leaseback arrangements if favorable terms can be obtained.</w:t>
      </w:r>
    </w:p>
    <w:p>
      <w:pPr>
        <w:spacing w:after="0" w:line="32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4.</w:t>
      </w:r>
      <w:r>
        <w:rPr>
          <w:sz w:val="20"/>
          <w:szCs w:val="20"/>
          <w:color w:val="auto"/>
        </w:rPr>
        <w:tab/>
      </w: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 ON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Silicon Motion Technology Corporation (“Silicon Motion”) is a corporation which was incorporated in the Cayman Islands in January 2005 and acquired Silicon Motion, Inc., a Taiwan corporation (“SMI Taiwan”), in April 2005. Originally SMI Taiwan was known as Feiya Technology Corporation (“Feiya”), a Taiwan corporation which was incorporated in April 1997 but had changed its name to SMI Taiwan after acquiring in August 2002 Silicon Motion, Inc., a California corporation (“SMI USA”), which was incorporated in November 1995. Feiya was originally a flash memory products company and SMI USA a graphics processor company.</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are a global leader in developing NAND flash controllers for SSDs and other solid state storage devices. We have over 20 years of experience developing specialized processor ICs that manage NAND components and deliver market leading, high- performance storage solutions widely used in data centers, PCs, smartphones and commercial and industrial applications. We have one of the broadest portfolios of controller intellectual properties developed from our deep understanding of NAND characteristics, which enables us to design both unique, highly optimized configurable IC plus related firmware controller platforms and complete turnkey controller solutions. In the last ten years, we have shipped over six billion controllers, more than any other company in the world. More NAND flash components, including current and up-coming generations of 3D flash produced by Intel, Kioxia, Micron, Samsung, SK Hynix, Western Digital and YMTC, are supported by Silicon Motion controllers than any other company. Our customers include NAND flash makers, module makers, hyperscalers and OEMs.</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the world’s leading supplier of SSD controllers used in PCs and other client devices and leading merchant supplier of eMMC/UFS controllers used in smartphones and IoT devices. We also leverage our controller expertise to supply customized high-performance data center SSDs to China’s leading hyperscalers and specialized small single-chip form factor SSDs for industrial, commercial and automotive applications. We market our controllers under the “SMI” brand, enterprise-grade SSDs under the “Shannon Systems” brand and single-chip industrial-grade SSDs under the “Ferri SSD,” “Ferri-eMMC,” and “Ferri-UFS” brands.</w:t>
      </w:r>
    </w:p>
    <w:p>
      <w:pPr>
        <w:spacing w:after="0" w:line="18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Our principal executive offices are located at Flat C, 19/F, Wing Cheong Commercial Building, Nos 19-25 Jervois Street, Hong Kong. The address of our United States operating subsidiary, Silicon Motion, Inc., is 690 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McCarthy Blvd. Suite 200, Milpitas, CA 95035. The address of our Taiwan operating subsidiary, Silicon Motion, Inc., is 8/F, #36 Taiyuan St., Jhubei, Hsinchu 30265, Taiwan. Our ADSs, each representing four of our ordinary shares, have been listed and traded on Nasdaq since June 2005.</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Subsidiaries of the Company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list of significant subsidiaries of the Company. All subsidiaries are wholly owned.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Entity</w:t>
            </w:r>
          </w:p>
        </w:tc>
        <w:tc>
          <w:tcPr>
            <w:tcW w:w="3360" w:type="dxa"/>
            <w:vAlign w:val="bottom"/>
          </w:tcPr>
          <w:p>
            <w:pPr>
              <w:spacing w:after="0"/>
              <w:rPr>
                <w:sz w:val="16"/>
                <w:szCs w:val="16"/>
                <w:color w:val="auto"/>
              </w:rPr>
            </w:pPr>
          </w:p>
        </w:tc>
        <w:tc>
          <w:tcPr>
            <w:tcW w:w="6720" w:type="dxa"/>
            <w:vAlign w:val="bottom"/>
            <w:gridSpan w:val="2"/>
          </w:tcPr>
          <w:p>
            <w:pPr>
              <w:ind w:left="1320"/>
              <w:spacing w:after="0"/>
              <w:rPr>
                <w:sz w:val="20"/>
                <w:szCs w:val="20"/>
                <w:color w:val="auto"/>
              </w:rPr>
            </w:pPr>
            <w:r>
              <w:rPr>
                <w:rFonts w:ascii="Arial" w:cs="Arial" w:eastAsia="Arial" w:hAnsi="Arial"/>
                <w:sz w:val="14"/>
                <w:szCs w:val="14"/>
                <w:b w:val="1"/>
                <w:bCs w:val="1"/>
                <w:color w:val="auto"/>
              </w:rPr>
              <w:t>Jurisdiction of Incorporation</w:t>
            </w:r>
          </w:p>
        </w:tc>
      </w:tr>
      <w:tr>
        <w:trPr>
          <w:trHeight w:val="189"/>
        </w:trPr>
        <w:tc>
          <w:tcPr>
            <w:tcW w:w="4300" w:type="dxa"/>
            <w:vAlign w:val="bottom"/>
            <w:gridSpan w:val="2"/>
          </w:tcPr>
          <w:p>
            <w:pPr>
              <w:spacing w:after="0" w:line="189" w:lineRule="exact"/>
              <w:rPr>
                <w:sz w:val="20"/>
                <w:szCs w:val="20"/>
                <w:color w:val="auto"/>
              </w:rPr>
            </w:pPr>
            <w:r>
              <w:rPr>
                <w:rFonts w:ascii="Arial" w:cs="Arial" w:eastAsia="Arial" w:hAnsi="Arial"/>
                <w:sz w:val="18"/>
                <w:szCs w:val="18"/>
                <w:color w:val="auto"/>
              </w:rPr>
              <w:t>Silicon Motion, Inc.</w:t>
            </w:r>
          </w:p>
        </w:tc>
        <w:tc>
          <w:tcPr>
            <w:tcW w:w="1320" w:type="dxa"/>
            <w:vAlign w:val="bottom"/>
          </w:tcPr>
          <w:p>
            <w:pPr>
              <w:spacing w:after="0"/>
              <w:rPr>
                <w:sz w:val="16"/>
                <w:szCs w:val="16"/>
                <w:color w:val="auto"/>
              </w:rPr>
            </w:pPr>
          </w:p>
        </w:tc>
        <w:tc>
          <w:tcPr>
            <w:tcW w:w="5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Taiwan</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Silicon Motion Technology (Macao) Ltd.</w:t>
            </w:r>
          </w:p>
        </w:tc>
        <w:tc>
          <w:tcPr>
            <w:tcW w:w="6720" w:type="dxa"/>
            <w:vAlign w:val="bottom"/>
            <w:gridSpan w:val="2"/>
          </w:tcPr>
          <w:p>
            <w:pPr>
              <w:ind w:left="1320"/>
              <w:spacing w:after="0"/>
              <w:rPr>
                <w:sz w:val="20"/>
                <w:szCs w:val="20"/>
                <w:color w:val="auto"/>
              </w:rPr>
            </w:pPr>
            <w:r>
              <w:rPr>
                <w:rFonts w:ascii="Arial" w:cs="Arial" w:eastAsia="Arial" w:hAnsi="Arial"/>
                <w:sz w:val="18"/>
                <w:szCs w:val="18"/>
                <w:color w:val="auto"/>
              </w:rPr>
              <w:t>Macau</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Silicon Motion Technology (HK) Ltd.</w:t>
            </w:r>
          </w:p>
        </w:tc>
        <w:tc>
          <w:tcPr>
            <w:tcW w:w="6720" w:type="dxa"/>
            <w:vAlign w:val="bottom"/>
            <w:gridSpan w:val="2"/>
          </w:tcPr>
          <w:p>
            <w:pPr>
              <w:ind w:left="1320"/>
              <w:spacing w:after="0"/>
              <w:rPr>
                <w:sz w:val="20"/>
                <w:szCs w:val="20"/>
                <w:color w:val="auto"/>
              </w:rPr>
            </w:pPr>
            <w:r>
              <w:rPr>
                <w:rFonts w:ascii="Arial" w:cs="Arial" w:eastAsia="Arial" w:hAnsi="Arial"/>
                <w:sz w:val="18"/>
                <w:szCs w:val="18"/>
                <w:color w:val="auto"/>
              </w:rPr>
              <w:t>Hong Kong</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and Products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focus primarily on designing, developing and marketing: (i) NAND flash controllers for solid state storage devices, primarily SSDs used in PCs and other client devices and eMMC and UFS mobile embedded storage used in smartphones and IoT devices and (ii) SSD solutions, primarily enterprise-grade SSDs used in data centers and small form-factor specialized SSDs used in industrial, commercial and automotive applications. In 2019, 50% to 60% of our net sales were of SSD controllers, 20% to 25% were eMMC and UFS controllers and approximately 10% were SSD solutions. In 2020, 50% to 60% of our net sales were of SSD controllers, 25% to 30% were eMMC and UFS controllers and 10% to 15% were SSD solutions. In 2021, 55% to 60% of our net sales were of SSD controllers, 30% to 35% were eMMC and UFS controllers and 5% to 10% were SSD solutions.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NAND Flash Controllers</w:t>
      </w:r>
    </w:p>
    <w:p>
      <w:pPr>
        <w:spacing w:after="0" w:line="117"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We offer a broad range of controllers from which customers may choose in developing different categories of solid state storage devices that are used in a wide variety of applications. We provide controllers for computing-grade SSDs used in PCs and other client devices, enterprise-grade SSDs used in data centers, eMMC and UFS mobile embedded storage used in smartphones and IoT devices and flash memory cards and flash drives used as expandable storage, and specialized SSDs used in industrial, commercial and automotive applications. For most of these applications we offer customers controllers, which are designed for a range of different price-performance trade-offs that enable the targeting of different market segments, such as value-line, mainstream and premium. Our controllers are a combination of integrated circuits and firmware and are offered as configurable platforms or turnkey solutions, which provides customers with options to customize products to achieve desired differentiation or focus on fast time-to-market. Since SSDs and mobile embedded storage products are defined by continuously evolving industry standards such those relating to, but are not limited to, the PCIe host interface, NVMe data transfer protocol and UFS storage specification, we provide controllers for the latest versions of these industry standards and design our solutions for customers to build storage devices with competitive product performance and compatibility with host</w:t>
      </w:r>
    </w:p>
    <w:p>
      <w:pPr>
        <w:spacing w:after="0" w:line="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devices. Our controllers are also designed to support the majority of the latest next generations of NAND flash components manufactured by vendors such as Kioxia, Micron, Samsung, SK Hynix and its subsidiary Solidigm, Western Digital and YMTC, which enables customers to have wide choices of components for developing and building storage devices. Controllers integrate technologies that are critical to their functionality and these include advanced error correction codes (“ECC”) and digital signal processing (“DSP”) engines for ensuring data reliability and sophisticated wear-leveling algorithms for maximizing the usable life of NAND flash components. We may also incorporate other technologies in our controllers such as encryption, power-loss protection, multimedia digital rights management and active temperature monitoring.</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SSD Solutions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use our unique controller technology to develop Ferri and Shannon SSD solutions. Our FerriSSDs, Ferri-eMMCs, and Ferri-UFS products are highly reliable industrial-, commercial- and automotive-grade single-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chip SSDs, which are developed for a wide-range of embedded applications that require high data rate, small form factor and compliance with industry standards. We offer customers firmware customization for performance tuning as a value-added service. Our Shannon SSDs include both standard enterprise-grade PCIe NVMe SSDs used in data centers and proprietary enterprise-grade Open-Channel SSDs developed for China’s leading hyperscale data center operators. Our Bigtera software-defined storage solutions are enterprise-grade software defined storage and storage appliances targeted at China and Taiwan markets.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sell our products to NAND flash makers, module makers, hyperscalers and OEMs worldwide. Most of our high performance flash memory storage controllers are supplied to NAND flash manufacturers. We are a leading supplier of SSD controllers used in data centers, PCs and other client devices and a leading merchant supplier of eMMC and UFS controllers used in smartphones and IoT devices. Sales to our five largest customers represented approximately 54%, 56% and 65% of our net revenue in 2019, 2020 and 2021, respectively. Sales to our significant customers representing 31%, 24% and 36% of our net revenue in 2019, 2020 and 2021, respectively. In 2021 and 2019, the significant customers were Intel and Micron and in 2020, was Micron. The identities of our largest customers and their respective contributions to our net revenue have varied and will likely continue to vary from period to period.</w:t>
      </w:r>
    </w:p>
    <w:p>
      <w:pPr>
        <w:spacing w:after="0" w:line="19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majority of our customers purchase our products through purchase orders, as opposed to entering into long-term contracts with us. The price for our products is typically agreed upon at the time a purchase order is placed.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market and sell our products worldwide through a combination of direct sales personnel and independent electronics distributors. Our direct sales personnel are strategically located near our NAND flash manufacturer, leading technology OEM and modular maker customers in Taiwan, Korea, China, the United States, and Japan. Approximately 69% of our sales in 2019, 70% of our sales in 2020, and 67% of our sales in 2021 were attributable to our direct sales force while the remainder was attributable to distributors.</w:t>
      </w:r>
    </w:p>
    <w:p>
      <w:pPr>
        <w:spacing w:after="0" w:line="171"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To supplement our direct sales, we have independent electronics distributors and sales reps located throughout the world. We selected these distributors and reps based on their ability to provide effective field sales, marketing communications and technical support for our products to our customers.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marketing group focuses on our product strategy, product development road maps, new product introduction process, demand assessment, competitive analysis and product marketing. We seek to work with potential and existing customers early in their design process to best match our products to their needs, and more broadly, to ensure that product development activities, product launches, and on-going demand and supply planning occur in a well-managed, timely basis in coordination with our research and development, operations, and sales groups, as well as our customers and distributors. We also attend industry tradeshows and technical conferences to promote our products and solutions, maintain close contact with our existing customers to assess demand, and keep current with industry trends. Our participation in industry standards associations, such as IEEE, JEDEC and NVM Express, helps us monitor the latest industry developments and promote our corporate profile. Our marketing group also works with our sales teams to identify new business opportunities.</w:t>
      </w:r>
    </w:p>
    <w:p>
      <w:pPr>
        <w:spacing w:after="0" w:line="17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also have field application engineers (“FAEs”), who provide technical support and assistance to existing and potential customers in designing, testing and qualifying systems that incorporate our products. Our FAE organization is segmented by product and market to support our customers.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future success depends on our ability to introduce improvements to our existing products and to develop new products that deliver cost-effective solutions for both existing and new markets. Our research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8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development efforts are directed largely to both the development of algorithms and other technological building blocks necessary for managing NAND flash and the use of these technological building blocks to develop a wide variety of NAND flash controller solutions, which are integrated circuits with embedded firmware, that can manage most available NAND flash components and are used to create different classes of solid state storage devices, such as enterprise-grade SSDs used in enterprise applications and data centers, client SSDs used in PCs and other client devices, eMMC and UFS embedded storage for smartphones and IoT devices. We have assembled a core team of engineers who have experience in the areas of firmware, digital and mixed-signal integrated circuit design and system-level architecture. Our research and development expenses consist primarily of employee salaries and related benefits including stock-based compensation, tape-out and related project expenses and intellectual property and software licensing costs. We expense research and development expenditures as they are incurred.</w:t>
      </w:r>
    </w:p>
    <w:p>
      <w:pPr>
        <w:spacing w:after="0" w:line="165"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Our primary research and development centers are located in Hsinchu and Taipei, Taiwan, and Shanghai, China. Our facilities in Hsinchu and Taipei focus primarily on our NAND flash controller products, and our facilities in Shanghai focus primarily on SSD solutions and specific product requirements of our customers in China.</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research and development activities broaden and strengthen our portfolio of intellectual properties, including patents and trade secrets. As of March 31, 2022, we have 2,144 patents and 1,253 pending applications worldwide, and we will continue to actively pursue the filing of additional patent applications in important jurisdictions.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research and development expenses were approximately US$110.3 million, US$121.8 million, and US$164.3 million for the years ended December 31, 2019, 2020 and 2021,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design and develop our products and electronically transfer our proprietary designs to independent foundries for the manufacturing and processing of silicon wafers. Once the wafers are manufactured, they are then shipped to third-party assembly and testing subcontractors. Individual integrated circuit dies are diced from wafers, assembled into finished chips and undergo several stages of testing before delivery to our customers. For certain products, we also ship bare dies to our customers. We believe that our strategy of outsourcing wafer fabrication, packaging and testing enables us to benefit from the research and development efforts of leading manufacturers without having to commit our own substantial capital investments. Our fabless business model also provides us with the flexibility to engage vendors who offer services that best complement our products and technologies.</w:t>
      </w:r>
    </w:p>
    <w:p>
      <w:pPr>
        <w:spacing w:after="0" w:line="16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i w:val="1"/>
          <w:iCs w:val="1"/>
          <w:color w:val="auto"/>
        </w:rPr>
        <w:t>Wafer fabrication</w:t>
      </w:r>
      <w:r>
        <w:rPr>
          <w:rFonts w:ascii="Arial" w:cs="Arial" w:eastAsia="Arial" w:hAnsi="Arial"/>
          <w:sz w:val="16"/>
          <w:szCs w:val="16"/>
          <w:color w:val="auto"/>
        </w:rPr>
        <w:t>. TSMC and SMIC are currently our primary foundries that manufacture most of our semiconductors. We use their fabs in</w:t>
      </w:r>
      <w:r>
        <w:rPr>
          <w:rFonts w:ascii="Arial" w:cs="Arial" w:eastAsia="Arial" w:hAnsi="Arial"/>
          <w:sz w:val="16"/>
          <w:szCs w:val="16"/>
          <w:i w:val="1"/>
          <w:iCs w:val="1"/>
          <w:color w:val="auto"/>
        </w:rPr>
        <w:t xml:space="preserve"> </w:t>
      </w:r>
      <w:r>
        <w:rPr>
          <w:rFonts w:ascii="Arial" w:cs="Arial" w:eastAsia="Arial" w:hAnsi="Arial"/>
          <w:sz w:val="16"/>
          <w:szCs w:val="16"/>
          <w:color w:val="auto"/>
        </w:rPr>
        <w:t>Taiwan, Singapore, and China to fabricate our devices using CMOS process technology, primarily with process nodes from 16/12 to 55 nanometers. We regularly evaluate the benefits and feasibility, on a product-by-product basis, of migrating to more cost-efficient manufacturing process technologies.</w:t>
      </w:r>
    </w:p>
    <w:p>
      <w:pPr>
        <w:spacing w:after="0" w:line="149"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i w:val="1"/>
          <w:iCs w:val="1"/>
          <w:color w:val="auto"/>
        </w:rPr>
        <w:t>Assembly and testing</w:t>
      </w:r>
      <w:r>
        <w:rPr>
          <w:rFonts w:ascii="Arial" w:cs="Arial" w:eastAsia="Arial" w:hAnsi="Arial"/>
          <w:sz w:val="16"/>
          <w:szCs w:val="16"/>
          <w:color w:val="auto"/>
        </w:rPr>
        <w:t>. Following wafer fabrication, our wafers are shipped to our assembly and test subcontractors where they are probed,</w:t>
      </w:r>
      <w:r>
        <w:rPr>
          <w:rFonts w:ascii="Arial" w:cs="Arial" w:eastAsia="Arial" w:hAnsi="Arial"/>
          <w:sz w:val="16"/>
          <w:szCs w:val="16"/>
          <w:i w:val="1"/>
          <w:iCs w:val="1"/>
          <w:color w:val="auto"/>
        </w:rPr>
        <w:t xml:space="preserve"> </w:t>
      </w:r>
      <w:r>
        <w:rPr>
          <w:rFonts w:ascii="Arial" w:cs="Arial" w:eastAsia="Arial" w:hAnsi="Arial"/>
          <w:sz w:val="16"/>
          <w:szCs w:val="16"/>
          <w:color w:val="auto"/>
        </w:rPr>
        <w:t>singulated into individual dies, assembled into packaged chips, and undergo the process of electronic final testing. In order to minimize cost and reduce turn-around time, our products are designed to use low cost, industry standard packages and can be tested with widely available automatic testing equipment. We currently engage companies such as SPIL, OSE, Huatian, and KYEC as our primary subcontractors for the assembly and testing of our products. We have dedicated teams of manufacturing engineers who maintain control over this process from the early stages of manufacturing. Our engineers work closely with our subcontractors to develop product testing and packaging programs to ensure these programs meet our product specifications, thereby maintaining our ownership of the functional and parametric performance of our semiconductors.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Quality and reliability assurance</w:t>
      </w:r>
      <w:r>
        <w:rPr>
          <w:rFonts w:ascii="Arial" w:cs="Arial" w:eastAsia="Arial" w:hAnsi="Arial"/>
          <w:sz w:val="18"/>
          <w:szCs w:val="18"/>
          <w:color w:val="auto"/>
        </w:rPr>
        <w:t>. We have designed and implemented a quality assurance system that provides the framework for continual</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of products, processes and customer service. To ensure consistent product quality, reliability and yield, our quality assurance teams perform reliability engineering, quality control, International Organization for Standardization (ISO) system development, document control, subcontractor quality management and customer engineering services to closely monitor the overall process from IC design to after-sale customer support. In particular, we rely on in-depth simulation studies, testing and practical application testing to validate and verify our products. We emphasize a strong supplier quality management practice in which our manufacturing suppliers and subcontractors are pre-qualified by our quality assurance teams. Our suppliers are required to have a quality management system, certified to ISO 9000 standard as a minimum requirement. Our operations have been ISO 9001 certified since 1999.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face competition from a number of competitors, including Marvell and Phison, our flash memory customers and small Chinese merchant controller suppliers.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markets for our products are intensely competitive, and are characterized by rapid technological change, evolving industry standards, frequent new product introductions and pricing pressures. Competition has intensified as a result of the increasing demand for higher levels of performance at competitive prices. We expect competition to intensify further as current competitors continue to strengthen the depth and breadth of their product offerings and additionally, our competitors in China are benefited from the government’s semiconductor localization policy. We believe that our ability to compete successfully in the rapidly evolving markets for our products depends on a number of factors, including, but not limited to:</w:t>
      </w:r>
    </w:p>
    <w:p>
      <w:pPr>
        <w:spacing w:after="0" w:line="67"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performance, features, quality and price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our customers and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emergence, rate of adoption and acceptance of new industry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adequate foundry capacity at competitive prices;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nature of our competitors in specific market sub-segments.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expect increased competition in the future from emerging or established companies, customers or other third parties, any of which could acquire significant market share. See “Risk Factors — Because the markets in which we compete are highly competitive and many of our competitors have greater resources than we have, we cannot be certain that our products will compete favorably in the marketplace,” in Item 3 above.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See “Risk Factors — Our financial conditions and results of operations may vary from quarter to quarter, which may cause the price of our ADSs to decline.” in Item 3 above and “Operating and Financial Review and Prospects — Principal Factors Affecting Our Results of Operations” in Item 5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success and future revenue growth depend, in part, on our ability to protect our intellectual property. We rely on a portfolio of intellectual property rights, registered in the United States, Taiwan, and other countries, including patents, copyrights and trademark registrations, trade secret laws, contractual provisions, licenses, and other methods to protect our intellectual property.</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of March 31, 2022, we have 2,144 patents and 1,253 pending applications worldwide. There can be no assurance that patents will ever be issued with respect to these pending applications. Furthermore, it is possible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that any patents held by us may be invalidated, circumvented, challenged or licensed to others. In addition, there can be no assurance that such patents will provide us with competitive advantages or adequately safeguard our proprietary rights. While we continue to file new patent applications with respect to our recent developments, existing patents are granted for prescribed time periods and will expire at various times in the future. We expect to continue to file patent applications where appropriate to protect our proprietary technologies.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Companies in the semiconductor industry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patents from third parties on commercially reasonable terms, if at all. Litigation, regardless of the outcome, is likely to result in substantial cost and diversion of our resources, including our management’s time. Any such litigation could materially adversely affect us. In addition, in the contracts under which we sell semiconductor products, we may have agreed to indemnify our customers against losses arising out of claims of unauthorized use of intellectual property.</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intend to protect our intellectual property rights vigorously, but there can be no assurance that our efforts will be successful. In addition, the laws of other countries in which our products are sold may not protect our products and intellectual property rights to the same extent as the laws of the United States.</w:t>
      </w:r>
    </w:p>
    <w:p>
      <w:pPr>
        <w:spacing w:after="0" w:line="184"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While our ability to effectively compete depends in large part on our ability to protect our intellectual property, we believe that our technical expertise, customer support capabilities, and ability to introduce new products in a timely and cost-effective manner will be important factors in maintaining our competitive position.</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claim copyright and trademark protection for proprietary documentation for our products and a variety of branding marks. We have registered “Silicon Motion” and its logo (a three-dimensional cube depiction of the letters “SM”), “NANDSustain,” “NANDXtend,” “SSDLifeGuard,” “SSDLifeSaver,” “TurboMLC,” “FerriSSD,” “Ferri-eMMC,” “Ferri-UFS,” the powered by SiliconMotion logo, “InstantView,” the Shannon Systems logo, “PCIe-RAID,” “DIRECT-IO,” “Hyper-IO,” “Bigtera,” the Bigtera logo, “VirtualStor,” “CloudStor,” and “StorVisor” as trademarks in the United States, Taiwan and/or other countries.</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also attempt to protect our trade secrets and other proprietary information through agreements with our customers, suppliers, employees and consultants, and through other customary security measures.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have entered into license agreements with third party intellectual property vendors for wafer fabrication tool libraries, semiconductor IP core, computer aided design tools and software.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of the date of this annual report, we occupy facilities totaling approximately 414,200 square feet, which house our management and administration, operations, research and development and sales and marketing departments. Of our facilities, approximately 182,400 square feet are owned and approximately 231,800 square feet are occupied under leases. We consider our facilities insufficient to meet our future operational requirements and in 2018, purchased 65,700 square feet of land in Hsinchu, Taiwan for the construction of a future office building and in 2021, executed a property development agreement for the construction of a future office building in Taipei, Taiwan. See “Risk Factor — We are subject to risks associated with development and construction of our office buildings.” The table below lists the location of our operating facilities.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2660" w:type="dxa"/>
            <w:vAlign w:val="bottom"/>
          </w:tcPr>
          <w:p>
            <w:pPr>
              <w:spacing w:after="0"/>
              <w:rPr>
                <w:sz w:val="16"/>
                <w:szCs w:val="16"/>
                <w:color w:val="auto"/>
              </w:rPr>
            </w:pPr>
          </w:p>
        </w:tc>
        <w:tc>
          <w:tcPr>
            <w:tcW w:w="6000" w:type="dxa"/>
            <w:vAlign w:val="bottom"/>
            <w:gridSpan w:val="2"/>
          </w:tcPr>
          <w:p>
            <w:pPr>
              <w:ind w:left="2180"/>
              <w:spacing w:after="0"/>
              <w:rPr>
                <w:sz w:val="20"/>
                <w:szCs w:val="20"/>
                <w:color w:val="auto"/>
              </w:rPr>
            </w:pPr>
            <w:r>
              <w:rPr>
                <w:rFonts w:ascii="Arial" w:cs="Arial" w:eastAsia="Arial" w:hAnsi="Arial"/>
                <w:sz w:val="14"/>
                <w:szCs w:val="14"/>
                <w:b w:val="1"/>
                <w:bCs w:val="1"/>
                <w:color w:val="auto"/>
              </w:rPr>
              <w:t>Primary Use</w:t>
            </w:r>
          </w:p>
        </w:tc>
        <w:tc>
          <w:tcPr>
            <w:tcW w:w="1820" w:type="dxa"/>
            <w:vAlign w:val="bottom"/>
          </w:tcPr>
          <w:p>
            <w:pPr>
              <w:spacing w:after="0"/>
              <w:rPr>
                <w:sz w:val="20"/>
                <w:szCs w:val="20"/>
                <w:color w:val="auto"/>
              </w:rPr>
            </w:pPr>
            <w:r>
              <w:rPr>
                <w:rFonts w:ascii="Arial" w:cs="Arial" w:eastAsia="Arial" w:hAnsi="Arial"/>
                <w:sz w:val="14"/>
                <w:szCs w:val="14"/>
                <w:b w:val="1"/>
                <w:bCs w:val="1"/>
                <w:color w:val="auto"/>
                <w:w w:val="92"/>
              </w:rPr>
              <w:t>Approximate Square Footage</w:t>
            </w:r>
          </w:p>
        </w:tc>
      </w:tr>
      <w:tr>
        <w:trPr>
          <w:trHeight w:val="203"/>
        </w:trPr>
        <w:tc>
          <w:tcPr>
            <w:tcW w:w="3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Hsinchu, Taiwan</w:t>
            </w:r>
          </w:p>
        </w:tc>
        <w:tc>
          <w:tcPr>
            <w:tcW w:w="5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Research &amp; development, management &amp; administration</w:t>
            </w:r>
          </w:p>
        </w:tc>
        <w:tc>
          <w:tcPr>
            <w:tcW w:w="88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222,300</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Taipei, Taiwan</w:t>
            </w:r>
          </w:p>
        </w:tc>
        <w:tc>
          <w:tcPr>
            <w:tcW w:w="6000" w:type="dxa"/>
            <w:vAlign w:val="bottom"/>
            <w:gridSpan w:val="2"/>
          </w:tcPr>
          <w:p>
            <w:pPr>
              <w:spacing w:after="0"/>
              <w:rPr>
                <w:sz w:val="20"/>
                <w:szCs w:val="20"/>
                <w:color w:val="auto"/>
              </w:rPr>
            </w:pPr>
            <w:r>
              <w:rPr>
                <w:rFonts w:ascii="Arial" w:cs="Arial" w:eastAsia="Arial" w:hAnsi="Arial"/>
                <w:sz w:val="18"/>
                <w:szCs w:val="18"/>
                <w:color w:val="auto"/>
              </w:rPr>
              <w:t>Research &amp; development, sales &amp; marketing</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96,000</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China</w:t>
            </w: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&amp; development, sales &amp; marketing</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43,400</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Shenzhen, China</w:t>
            </w:r>
          </w:p>
        </w:tc>
        <w:tc>
          <w:tcPr>
            <w:tcW w:w="6000" w:type="dxa"/>
            <w:vAlign w:val="bottom"/>
            <w:gridSpan w:val="2"/>
          </w:tcPr>
          <w:p>
            <w:pPr>
              <w:spacing w:after="0"/>
              <w:rPr>
                <w:sz w:val="20"/>
                <w:szCs w:val="20"/>
                <w:color w:val="auto"/>
              </w:rPr>
            </w:pPr>
            <w:r>
              <w:rPr>
                <w:rFonts w:ascii="Arial" w:cs="Arial" w:eastAsia="Arial" w:hAnsi="Arial"/>
                <w:sz w:val="18"/>
                <w:szCs w:val="18"/>
                <w:color w:val="auto"/>
              </w:rPr>
              <w:t>Sales &amp; marketing</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20,200</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Milpitas, California</w:t>
            </w: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&amp; marketing, management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13,300</w:t>
            </w:r>
          </w:p>
        </w:tc>
      </w:tr>
      <w:tr>
        <w:trPr>
          <w:trHeight w:val="330"/>
        </w:trPr>
        <w:tc>
          <w:tcPr>
            <w:tcW w:w="3200" w:type="dxa"/>
            <w:vAlign w:val="bottom"/>
            <w:gridSpan w:val="2"/>
          </w:tcPr>
          <w:p>
            <w:pPr>
              <w:spacing w:after="0"/>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(1)</w:t>
            </w:r>
          </w:p>
        </w:tc>
        <w:tc>
          <w:tcPr>
            <w:tcW w:w="6000" w:type="dxa"/>
            <w:vAlign w:val="bottom"/>
            <w:gridSpan w:val="2"/>
          </w:tcPr>
          <w:p>
            <w:pPr>
              <w:spacing w:after="0"/>
              <w:rPr>
                <w:sz w:val="20"/>
                <w:szCs w:val="20"/>
                <w:color w:val="auto"/>
              </w:rPr>
            </w:pPr>
            <w:r>
              <w:rPr>
                <w:rFonts w:ascii="Arial" w:cs="Arial" w:eastAsia="Arial" w:hAnsi="Arial"/>
                <w:sz w:val="18"/>
                <w:szCs w:val="18"/>
                <w:color w:val="auto"/>
              </w:rPr>
              <w:t>Sales &amp; marketing, management</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19,000</w:t>
            </w:r>
          </w:p>
        </w:tc>
      </w:tr>
      <w:tr>
        <w:trPr>
          <w:trHeight w:val="250"/>
        </w:trPr>
        <w:tc>
          <w:tcPr>
            <w:tcW w:w="5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120" w:type="dxa"/>
            <w:vAlign w:val="bottom"/>
          </w:tcPr>
          <w:p>
            <w:pPr>
              <w:ind w:left="2220"/>
              <w:spacing w:after="0"/>
              <w:rPr>
                <w:sz w:val="20"/>
                <w:szCs w:val="20"/>
                <w:color w:val="auto"/>
              </w:rPr>
            </w:pPr>
            <w:r>
              <w:rPr>
                <w:rFonts w:ascii="Arial" w:cs="Arial" w:eastAsia="Arial" w:hAnsi="Arial"/>
                <w:sz w:val="18"/>
                <w:szCs w:val="18"/>
                <w:color w:val="auto"/>
              </w:rPr>
              <w:t>27</w:t>
            </w: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ectPr>
          <w:pgSz w:w="11900" w:h="16838" w:orient="portrait"/>
          <w:cols w:equalWidth="0" w:num="1">
            <w:col w:w="11140"/>
          </w:cols>
          <w:pgMar w:left="320" w:top="486"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Korea, Macau, Hong Kong, Yokohama, Japan, Beijing, Nanjing and Suzhou, China</w:t>
      </w:r>
    </w:p>
    <w:p>
      <w:pPr>
        <w:spacing w:after="0" w:line="225"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Leases covering our current facilities expire at varying dates, generally within the next five years. We anticipate no difficulty in retaining occupancy through lease renewals, month-to-month occupancy or replacing the leased facilities with equivalent facilities.</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currently own commercial property in Taipei of approximately 6,200 square feet and commercial property in Shanghai of approximately 20,000 square feet, both of which we have no plans to use for our operations. The Taipei property is leased to a third-party. Part of the Shanghai property is leased to third parties and the rest remains to be leased.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See Risk Factors — “Our business is subject to various governmental regulations, and compliance with these regulations may cause us to incur significant expense.” in Item 3 above.</w:t>
      </w:r>
    </w:p>
    <w:p>
      <w:pPr>
        <w:spacing w:after="0" w:line="31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4A.</w:t>
      </w:r>
      <w:r>
        <w:rPr>
          <w:sz w:val="20"/>
          <w:szCs w:val="20"/>
          <w:color w:val="auto"/>
        </w:rPr>
        <w:tab/>
      </w:r>
      <w:r>
        <w:rPr>
          <w:rFonts w:ascii="Arial" w:cs="Arial" w:eastAsia="Arial" w:hAnsi="Arial"/>
          <w:sz w:val="18"/>
          <w:szCs w:val="18"/>
          <w:b w:val="1"/>
          <w:bCs w:val="1"/>
          <w:color w:val="auto"/>
        </w:rPr>
        <w:t>U</w:t>
      </w:r>
      <w:r>
        <w:rPr>
          <w:rFonts w:ascii="Arial" w:cs="Arial" w:eastAsia="Arial" w:hAnsi="Arial"/>
          <w:sz w:val="14"/>
          <w:szCs w:val="14"/>
          <w:b w:val="1"/>
          <w:bCs w:val="1"/>
          <w:color w:val="auto"/>
        </w:rPr>
        <w:t>NRESOLVED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TAFF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5.</w:t>
      </w:r>
      <w:r>
        <w:rPr>
          <w:sz w:val="20"/>
          <w:szCs w:val="20"/>
          <w:color w:val="auto"/>
        </w:rPr>
        <w:tab/>
      </w:r>
      <w:r>
        <w:rPr>
          <w:rFonts w:ascii="Arial" w:cs="Arial" w:eastAsia="Arial" w:hAnsi="Arial"/>
          <w:sz w:val="18"/>
          <w:szCs w:val="18"/>
          <w:b w:val="1"/>
          <w:bCs w:val="1"/>
          <w:color w:val="auto"/>
        </w:rPr>
        <w:t>O</w:t>
      </w:r>
      <w:r>
        <w:rPr>
          <w:rFonts w:ascii="Arial" w:cs="Arial" w:eastAsia="Arial" w:hAnsi="Arial"/>
          <w:sz w:val="14"/>
          <w:szCs w:val="14"/>
          <w:b w:val="1"/>
          <w:bCs w:val="1"/>
          <w:color w:val="auto"/>
        </w:rPr>
        <w:t>PERATING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EVIEW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ROSPECTS</w:t>
      </w:r>
    </w:p>
    <w:p>
      <w:pPr>
        <w:spacing w:after="0" w:line="33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is based upon and should be read in conjunction with our consolidated financial statements and their related notes included in this annual report. This discussion contains forward-looking statements that involve risks and uncertainties. We caution you that our business and financial performance are subject to substantial risks and uncertainties. Actual results could differ materially from those projected in the forward-looking statements. See “Special Note Regarding Forward-Looking Statements.” In evaluating our business, you should also carefully consider the information provided under the caption “Risk Factors” included in Item 3 of this annual report.</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are a global leader in developing NAND flash controllers for SSDs and other solid state storage devices. We have over 20 years of experience developing specialized processor ICs that manage NAND components and deliver market leading, high- performance storage solutions widely used in data centers, PCs, smartphones and commercial and industrial applications. We have one of the broadest portfolios of controller intellectual properties developed from our deep understanding of NAND characteristics, which enables us to design both unique, highly optimized configurable IC plus related firmware controller platforms and complete turnkey controller solutions. In the last ten years, we have shipped over six billion controllers, more than any other company in the world. More NAND flash components, including current and up-coming generations of 3D flash produced by Kioxia, Micron, Samsung, SK Hynix and its subsidiary Solidigm, Western Digital and YMTC, are supported by Silicon Motion controllers than any other company. Our customers include NAND flash makers, module makers, hyperscalers and OEMs.</w:t>
      </w:r>
    </w:p>
    <w:p>
      <w:pPr>
        <w:spacing w:after="0" w:line="17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the world’s leading supplier of SSD controllers used in PCs and other client devices and leading merchant supplier of eMMC/UFS controllers used in smartphones and IoT devices. We also leverage our controller expertise to supply customized high-performance data center SSDs to China’s leading hyperscalers and specialized small single-chip form factor SSDs for industrial, commercial and automotive applications. We market our controllers under the “SMI” brand, enterprise-grade SSDs under the “Shannon Systems” brand and single-chip industrial-grade SSDs under the “Ferri SSD,” “Ferri-eMMC” and “Ferri-UFS” brands.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Consolidated Financial Results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Summary of the year ended December 31, 2021 include the following:</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revenue increased by 71% to US$922.1 million from US$539.5 million in the prior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profit as a percentage of revenue increased by 1.8% points to 50.0% from 48.2% in the prior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operating expenses increased by 20% to US$214.9 million from US$179.7 million in the prior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profit increased by 206% to US$245.9 million from US$80.5 million in the prior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tax expense as a percentage of income before income tax increased to 19.1% from 6.8% in the prior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earnings per ADS increased by 151% to US$5.72 from US$2.28 in the prior year.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Principal Factors Affecting Our 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Our net sales consist primarily of sales of our products, after deducting sales discounts and allowances for returns.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net sales are denominated primarily in U.S. dollars. The percentages of our net sales by currency for the periods indicated are set forth in the following table:</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2019</w:t>
            </w: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2"/>
                <w:szCs w:val="12"/>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Currency</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U.S. dollars</w:t>
            </w:r>
          </w:p>
        </w:tc>
        <w:tc>
          <w:tcPr>
            <w:tcW w:w="920" w:type="dxa"/>
            <w:vAlign w:val="bottom"/>
            <w:gridSpan w:val="2"/>
          </w:tcPr>
          <w:p>
            <w:pPr>
              <w:jc w:val="right"/>
              <w:ind w:right="388"/>
              <w:spacing w:after="0"/>
              <w:rPr>
                <w:sz w:val="20"/>
                <w:szCs w:val="20"/>
                <w:color w:val="auto"/>
              </w:rPr>
            </w:pPr>
            <w:r>
              <w:rPr>
                <w:rFonts w:ascii="Arial" w:cs="Arial" w:eastAsia="Arial" w:hAnsi="Arial"/>
                <w:sz w:val="18"/>
                <w:szCs w:val="18"/>
                <w:color w:val="auto"/>
              </w:rPr>
              <w:t>95%</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Korean won</w:t>
            </w:r>
          </w:p>
        </w:tc>
        <w:tc>
          <w:tcPr>
            <w:tcW w:w="9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Chinese yuan</w:t>
            </w:r>
          </w:p>
        </w:tc>
        <w:tc>
          <w:tcPr>
            <w:tcW w:w="920" w:type="dxa"/>
            <w:vAlign w:val="bottom"/>
            <w:gridSpan w:val="2"/>
          </w:tcPr>
          <w:p>
            <w:pPr>
              <w:jc w:val="right"/>
              <w:ind w:right="388"/>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length of our sales cycle, from the day purchase orders are received until products are shipped to customers, is dependent on the availability of our product inventories. If we do not have sufficient inventories on hand to meet customer demands, approximately three months are generally required from the day purchase orders are received until finished goods are manufactured and shipped to customers. This cycle can take up to six months during times when capacity at independent foundries is being fully utilized. The potential delays inherent in the manufacturing process increase the risk that we may not be able to fulfill a customer’s order on time. All of our sales are made by purchase orders. Because our practice, which is consistent with industry practice, allows customers to reschedule orders on relatively short notice, order backlog may not be a good indicator of our future sales.</w:t>
      </w:r>
    </w:p>
    <w:p>
      <w:pPr>
        <w:spacing w:after="0" w:line="19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Because most of our semiconductor solutions are designed for the mobile and computing devices markets, we expect our business to be subject to seasonality, with higher net sales generally in the second half of each year, when customers place orders to meet increased demand during year-end holiday seasons. However, changing market and business conditions, including foundry wafer supply shortages, as well as changing product mix in recent years could make assessment of the impact of seasonal factors on our business difficult.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Our cost of sales consists primarily of the following costs:</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wafer fabrication;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assembly, testing and shipping costs of our semiconductors;</w:t>
      </w:r>
    </w:p>
    <w:p>
      <w:pPr>
        <w:spacing w:after="0" w:line="130" w:lineRule="exact"/>
        <w:rPr>
          <w:rFonts w:ascii="Arial" w:cs="Arial" w:eastAsia="Arial" w:hAnsi="Arial"/>
          <w:sz w:val="18"/>
          <w:szCs w:val="18"/>
          <w:color w:val="auto"/>
        </w:rPr>
      </w:pPr>
    </w:p>
    <w:p>
      <w:pPr>
        <w:ind w:left="5540" w:right="4880" w:hanging="4884"/>
        <w:spacing w:after="0" w:line="535" w:lineRule="auto"/>
        <w:tabs>
          <w:tab w:leader="none" w:pos="1094"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personnel and equipment costs associated with manufacturing support; 29</w:t>
      </w:r>
    </w:p>
    <w:p>
      <w:pPr>
        <w:sectPr>
          <w:pgSz w:w="11900" w:h="16838" w:orient="portrait"/>
          <w:cols w:equalWidth="0" w:num="1">
            <w:col w:w="11060"/>
          </w:cols>
          <w:pgMar w:left="320" w:top="486"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raw materials;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write-down of inventory.</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engage independent foundries for the manufacturing and subcontractors for the assembly and testing of our semiconductors. Our manufacturing cost is subject to the cyclical supply and demand conditions typical of the semiconductor industry. Our cost per wafer generally fluctuates with the availability of capacity at independent foundries. We believe that our cost of sales is substantially variable in nature.</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consist primarily of employee salaries and related costs,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tape-out and related project expenses and intellectual property and software licensing costs. We expense research and development expenditures as they are incurred.</w:t>
      </w:r>
    </w:p>
    <w:p>
      <w:pPr>
        <w:spacing w:after="0" w:line="184" w:lineRule="exact"/>
        <w:rPr>
          <w:sz w:val="20"/>
          <w:szCs w:val="20"/>
          <w:color w:val="auto"/>
        </w:rPr>
      </w:pPr>
    </w:p>
    <w:p>
      <w:pPr>
        <w:ind w:left="120" w:right="900" w:firstLine="440"/>
        <w:spacing w:after="0" w:line="34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consist primarily of employee salaries and related costs,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 commissions paid to independent distributors and costs for our advertising and promotional activities.</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consist primarily of employee salaries and related costs, stock-based compensation expense, insurance premiums, professional fees and allowance for doubtful accounts.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 xml:space="preserve">Impairment of goodwill and intangible assets. </w:t>
      </w:r>
      <w:r>
        <w:rPr>
          <w:rFonts w:ascii="Arial" w:cs="Arial" w:eastAsia="Arial" w:hAnsi="Arial"/>
          <w:sz w:val="18"/>
          <w:szCs w:val="18"/>
          <w:color w:val="auto"/>
        </w:rPr>
        <w:t>We evaluate the recoverability of goodwill and intangible assets annually, or sooner if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amount may not be recoverable.</w:t>
      </w:r>
    </w:p>
    <w:p>
      <w:pPr>
        <w:spacing w:after="0" w:line="170"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relates to intangible assets, such as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but excluding goodwill.</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We grant restricted stock units to our employees and members of the Board of Directors. The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restricted stock units is expensed over the vesting period and based on the grant date share price, less the present value of expected dividends during the vesting period, discounted at a risk-free interest rate.</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i w:val="1"/>
          <w:iCs w:val="1"/>
          <w:color w:val="auto"/>
        </w:rPr>
        <w:t xml:space="preserve">Non-operating income and expenses. </w:t>
      </w:r>
      <w:r>
        <w:rPr>
          <w:rFonts w:ascii="Arial" w:cs="Arial" w:eastAsia="Arial" w:hAnsi="Arial"/>
          <w:sz w:val="16"/>
          <w:szCs w:val="16"/>
          <w:color w:val="auto"/>
        </w:rPr>
        <w:t>Our non-operating income and expenses include gains from the disposal of a subsidiary, gains or losses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sales of investments, interest from deposited cash or short-term investments, gains or losses on foreign exchange rates, interest paid on loans, impairment losses on the long-term investments and other non-operating income and expenses not categorized above. We conduct an assessment on the value of our long-term investments quarterly and make corresponding write-downs as required to the value of the long-term investments.</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We must make certain estimates and judgments in determining income tax expenses for financial statement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estimates and judgments occur in the calculation of tax credits, benefits, deductions and allowance, and in the calculation of certain tax assets and liabilities, which arise from differences in the timing of recognition of revenue and expense for tax and financial statement purposes, as well as the interest and penalties related to uncertain tax positions.</w:t>
      </w:r>
    </w:p>
    <w:p>
      <w:pPr>
        <w:spacing w:after="0" w:line="18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We have operations in several countries, which include Taiwan, China, Hong Kong, Macau and the United States and determine income taxes for each of the jurisdictions where we operate. In May 2019, we divested our specialty RF ICs product line with operations in South Korea.</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preparation of our consolidated financial statements requires us to make estimates and judgments that affect the reported amount of assets, liabilities, net sales and expenses, and related disclosure of contingent assets and liabilities. We base our estimates and judgments on our historical experience, knowledge of current conditions and our beliefs of what could occur in the future considering available information. Because our estimates may vary in each situation, our actual results may differ from our estimates under different assumptions and conditions.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management considers the following factors in reviewing our consolidated financial statements:</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selection of critical accounting policies;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judgments and other uncertainties affecting the application of those critical accounting policies.</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selection of critical accounting policies, the judgments and other uncertainties affecting the application of those policies and the sensitivity of reported results to changes in conditions and assumptions are factors to be considered when reviewing our consolidated financial statements. Our principal accounting policies are set forth in detail in Note 2 to our consolidated financial statements included elsewhere in this annual report.</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Critical accounting estimates are defined as those reflective of significant judgments, estimates and uncertainties, which may result in materially different results under different assumptions and conditions. As conditions resulting from the COVID-19 pandemic continue to evolve, we expect these judgments and estimates may be subject to change, which could materially impact future periods. We believe the following are our critical accounting estimates: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Inventory valuation. </w:t>
      </w:r>
      <w:r>
        <w:rPr>
          <w:rFonts w:ascii="Arial" w:cs="Arial" w:eastAsia="Arial" w:hAnsi="Arial"/>
          <w:sz w:val="17"/>
          <w:szCs w:val="17"/>
          <w:color w:val="auto"/>
        </w:rPr>
        <w:t>We value inventories at the lower of cost or net realizable value for raw materials, work-in-process and finished goods.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Inventories are recorded at standard cost and adjusted to the approximate weighted-average cost at the balance sheet date. We assess net realizable value of the inventory for estimated obsolescence or unmarketable inventory based upon management’s assumptions about future demand and market conditions. In estimating reserves for obsolescence, we primarily evaluate estimates based on the timing of the introduction of new products and the quantities remaining of old products and provides reserves for inventory on hand in excess of the estimated demand. Estimated losses on slow-moving items are recognized and included in the allowance for losses. We wrote down US$9.1 million, US$6.9 million and US$5.7 million in 2019, 2020 and 2021, respectively, for estimated obsolete or unmarketable inventory, with write-downs in 2019, 2020 and 2021 primarily related to the value of NAND components and SSDs in inventory affected by rapidly falling NAND prices.</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not made any material changes in the accounting methodology used to evaluate obsolescence or unmarketable inventory during the last three fiscal years. However, if actual results are not consistent with our estimates and assumptions used to calculate inventory write-downs, we may be exposed to inventory write-downs that could be material. If we have experienced significant industry fluctuations, maturing product cycles and new product introductions of both semiconductor companies’ and their customers’ products and fluctuations in general economic conditions, we may be exposed to future obsolescence or unmarketable inventory.</w:t>
      </w:r>
    </w:p>
    <w:p>
      <w:pPr>
        <w:spacing w:after="0" w:line="188"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i w:val="1"/>
          <w:iCs w:val="1"/>
          <w:color w:val="auto"/>
        </w:rPr>
        <w:t xml:space="preserve">Valuation of long-lived assets and intangible assets with finite useful life. </w:t>
      </w:r>
      <w:r>
        <w:rPr>
          <w:rFonts w:ascii="Arial" w:cs="Arial" w:eastAsia="Arial" w:hAnsi="Arial"/>
          <w:sz w:val="16"/>
          <w:szCs w:val="16"/>
          <w:color w:val="auto"/>
        </w:rPr>
        <w:t>We evaluate the recoverability of long-lived assets and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events or changes in circumstances indicate the carrying value may not be recoverable. The carrying value of a long-lived asset is considered impaired when the sum of the anticipated undiscounted cash flows from such asset is separately identifiable and is less than the carrying value.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8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If impairment occurs, a loss based on the excess of carrying value over the fair market value of the long-lived asset is recognized. Fair market value is determined by reference to quoted market prices, if available, or discounted cash flows, as appropriate. The impairment evaluations and the estimate of fair market value involve management estimates of assets’ useful lives and future cash flows. We have not made any material changes in the accounting methodology used in the impairment evaluations of long-lived assets or definite life intangibles during the last three fiscal years. We do not believe there is a reasonable likelihood there will be a material change in the estimates or assumptions used to calculate impairments. However, actual useful lives and cash flows could be different from those estimated by management. This could have a material effect on our operating results and financial condition.</w:t>
      </w:r>
    </w:p>
    <w:p>
      <w:pPr>
        <w:spacing w:after="0" w:line="4"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As of December 31, 2019, we wrote down the value of intangible assets by US$3.7 million, See Note 9 Goodwill and Acquired Intangible Assets in our consolidated financial statements.</w:t>
      </w:r>
    </w:p>
    <w:p>
      <w:pPr>
        <w:spacing w:after="0" w:line="185"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i w:val="1"/>
          <w:iCs w:val="1"/>
          <w:color w:val="auto"/>
        </w:rPr>
        <w:t xml:space="preserve">Impairment of long-term investments. </w:t>
      </w:r>
      <w:r>
        <w:rPr>
          <w:rFonts w:ascii="Arial" w:cs="Arial" w:eastAsia="Arial" w:hAnsi="Arial"/>
          <w:sz w:val="16"/>
          <w:szCs w:val="16"/>
          <w:color w:val="auto"/>
        </w:rPr>
        <w:t>We evaluate the recoverability of long-term investments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the carrying value may not be recoverable. Impairment charges are determined based on the difference between our carrying value and our proportionate ownership of the investee company’s fair value at year end. No impairment losses were recognized in 2019, 2020 and 2021.</w:t>
      </w:r>
    </w:p>
    <w:p>
      <w:pPr>
        <w:spacing w:after="0" w:line="14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record goodwill when the consideration paid for an acquisition exceeds the fair value of net tangible and intangible assets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We measure and test goodwill on an annual basis or more frequently if we believe indicators of impairment exist. Our impairment review process compares the fair value of the reporting unit in which the goodwill resides to its carrying value. We determined that our reporting units are equivalent to our operating segments or components of an operating segment for the purposes of completing our impairment test. We adopt FASB Accounting Standard Update 2017-04, which removed step two from the goodwill impairment test, in conjunction with our annual review for impairment. Estimating fair value is performed by utilizing various valuation approaches, such as income approach or market approach. The total of all reporting unit fair values was also compared to our market capitalization plus control premium for reasonableness.</w:t>
      </w:r>
    </w:p>
    <w:p>
      <w:pPr>
        <w:spacing w:after="0" w:line="17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2019 and 2020, we recorded an impairment charge of US$15.7 million and US$17.5 million related to our Shannon acquisition. The worse than expected business outlook and lower cash flow projections of these reporting units led to reductions in their fair market value and the assessment of impairment charges for the difference of carrying value in excess of fair market value. The estimate of cash flow was based upon, among other things, certain assumptions about expected future operating performance such as revenue growth rates and operating margins used to calculate projected future cash flows, risk-adjusted discount rates, future economic and market conditions, and determination of appropriate market comparable. We based our fair value estimates on assumptions we believed to be reasonable but that are unpredictable and inherently uncertain. The long-term financial forecast represented the best estimate that we had at that time and we believed that its underlying assumptions were reasonable.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In preparing our consolidated financial statements, we are required to estimate our income taxes in each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jurisdictions in which we operate. We are tax resident in numerous taxing jurisdictions around the world and have identified our major tax jurisdictions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Taiwan, Hong Kong, Macau and China with statutory tax rate of 20%, 16.5%, 12% and 25%, respectively, and estimate our actual current tax</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exposure together with assessed temporary differences resulting from differing treatment of items for tax and accounting purposes. These differences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 in deferred tax assets and liabilities, which are included within our consolidated balance sheet. We must then assess the likelihood that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tax assets will be recovered from future taxable income within the relevant jurisdiction and, to the extent we believe that recovery is not likely,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must establish a valuation allowance. The total amount of valuation allowance as of December 31, 2019, 2020 and 2021 was US$18.1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US$20.8 million and US$21.8 million, respectively. We provide for a valuation allowance to the extent we believe that it is more likely than not that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tax assets will not be recovered from future taxable income. Realization of future tax benefits related to the deferred tax assets is dependent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many factors, including our ability to generate taxable income within the period during which the temporary differences reverse, the outlook for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economic environment in which we operate, and the overall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future industry outlook. Should we determine that we would not be able to realize all or part of our net deferred tax asset in the future, an additional allowance for the deferred tax asset would be charged to income in the period the determination was made.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utilize a two-step approach to recognizing and measuring uncertain tax positions. The first step is to evaluate the tax position for recognition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determining if the weight of available evidence indicates it is more likely than not that the position will be sustained on audit, including resolution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appeals or litigation processes, if any. The second step is to measure the tax benefit as the largest amount which is more than 50% likely of being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realized upon ultimate settlement. The total amount of unrecognized tax benefits as of December 31, 2019, 2020 and 2021 was US$20.7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US$19.0 million and US$26.3 million, respectively. As of December 31, 2020 and 2021, US$5.2 million and US$6.4 million, respectively, of interest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penalties were accrued. Fiscal years 2016 through 2021 remain subject to examination by the US Internal Revenue Service and other foreign tax</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jurisdictions. The ultimate outcome of tax matters may differ from our estimates and assumptions. Unfavorable settlement of any particular issue would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 the use of cash and could result in increased income tax expense. Favorable resolution could result in reduced income tax expense. Within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next 12 months, we do not expect that our unrecognized tax benefits would change significantly. See Note 14 to the consolidated financial statements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information regarding changes in unrecognized tax benefits during 2021.</w:t>
      </w:r>
    </w:p>
    <w:p>
      <w:pPr>
        <w:spacing w:after="0" w:line="21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i w:val="1"/>
          <w:iCs w:val="1"/>
          <w:color w:val="auto"/>
        </w:rPr>
        <w:t xml:space="preserve">Legal Contingencies. </w:t>
      </w:r>
      <w:r>
        <w:rPr>
          <w:rFonts w:ascii="Arial" w:cs="Arial" w:eastAsia="Arial" w:hAnsi="Arial"/>
          <w:sz w:val="17"/>
          <w:szCs w:val="17"/>
          <w:color w:val="auto"/>
        </w:rPr>
        <w:t>From time to time, we are involved in legal actions or other third-party assertions arising in the ordinary course of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There can be no assurance these actions or other third-party assertions will be resolved without costly litigation, in a manner that does not adversely impact our financial position, results of operations or cash flows or without requiring royalty payments in the future, which may adversely impact gross margins. We record a liability when it is probable that a loss has been incurred and the amount can be reasonably estimated. In determining the probability of a loss and consequently, determining a reasonable estimate, management is required to use significant judgment. Given the uncertainties associated with any litigation, the actual outcome can be different than our estimates and could adversely affect our results of operations, financial position and cash flows. See Item 8: “Legal Proceedings”.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statements of operations as a percentage of net sales for the periods indicated: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Impairment of goodwill and intangible assets</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Non-operating income (expenses):</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disposal of subsidiary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Gain from disposal of long-term investments</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disposal of short-term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 (loss), 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(loss), net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Total non-operating income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right="4780"/>
        <w:spacing w:after="0" w:line="402" w:lineRule="auto"/>
        <w:rPr>
          <w:sz w:val="20"/>
          <w:szCs w:val="20"/>
          <w:color w:val="auto"/>
        </w:rPr>
      </w:pPr>
      <w:r>
        <w:rPr>
          <w:rFonts w:ascii="Arial" w:cs="Arial" w:eastAsia="Arial" w:hAnsi="Arial"/>
          <w:sz w:val="18"/>
          <w:szCs w:val="18"/>
          <w:b w:val="1"/>
          <w:bCs w:val="1"/>
          <w:i w:val="1"/>
          <w:iCs w:val="1"/>
          <w:color w:val="auto"/>
        </w:rPr>
        <w:t xml:space="preserve">Comparison of Year Ended December 31, 2021 to Year Ended December 31, 2020 </w:t>
      </w:r>
      <w:r>
        <w:rPr>
          <w:rFonts w:ascii="Arial" w:cs="Arial" w:eastAsia="Arial" w:hAnsi="Arial"/>
          <w:sz w:val="18"/>
          <w:szCs w:val="18"/>
          <w:i w:val="1"/>
          <w:iCs w:val="1"/>
          <w:color w:val="auto"/>
        </w:rPr>
        <w:t>Net sales.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5"/>
              </w:rPr>
              <w:t>Years Ended December 31</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24"/>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699"/>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7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340" w:type="dxa"/>
            <w:vAlign w:val="bottom"/>
          </w:tcPr>
          <w:p>
            <w:pPr>
              <w:spacing w:after="0"/>
              <w:rPr>
                <w:sz w:val="12"/>
                <w:szCs w:val="12"/>
                <w:color w:val="auto"/>
              </w:rPr>
            </w:pPr>
          </w:p>
        </w:tc>
        <w:tc>
          <w:tcPr>
            <w:tcW w:w="7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7"/>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 except percentage data)</w:t>
            </w: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Mobile Storage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532,682</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99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910,569</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99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377,887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6,839</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11,531</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4"/>
        </w:trPr>
        <w:tc>
          <w:tcPr>
            <w:tcW w:w="490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539,521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922,100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382,579</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In 2021, our net sales increased by 71% year-over-year to approximately US$922.1 million. Our Mobile Storage revenue increased by 71% year-over-year primarily because of increasing sales of SSD controllers, eMMC and UFS controllers and expandable storage controllers, partially offset by declining sales of SSD solutions. Our SSD controller sales increased in the range of 75% to 80% year-over-year to account for 55% to 60% of revenue, eMMC plus UFS controller sales increased in the range of 105% to 110% year-over-year to</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86"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 for 30% to 35% of revenue and SSD solutions sales decreased in the range of 5% to 10% year-over-year to account for 5% to 10% of revenue.</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Years Ended December 31</w:t>
            </w:r>
          </w:p>
        </w:tc>
        <w:tc>
          <w:tcPr>
            <w:tcW w:w="1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6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6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74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US$</w:t>
            </w:r>
          </w:p>
        </w:tc>
        <w:tc>
          <w:tcPr>
            <w:tcW w:w="1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 sales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US$</w:t>
            </w:r>
          </w:p>
        </w:tc>
        <w:tc>
          <w:tcPr>
            <w:tcW w:w="1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net sales</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97"/>
              </w:rPr>
              <w:t>(in thousands, except percentage data)</w:t>
            </w:r>
          </w:p>
        </w:tc>
        <w:tc>
          <w:tcPr>
            <w:tcW w:w="10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5"/>
              </w:rPr>
              <w:t>260,156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460,795</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200,639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Gross profit as a percentage of net sales increased to 50% in 2021 as compared to 48% in 2020 as we focused on optimizing our product mix and customer allocation and the re-pricing of our controllers to account for foundry wafer supply shortage and higher fabrication, assembly and testing costs. Our gross profit excluding obsolete and unmarketable inventory write-downs as a percentage of revenue increased from 50% in 2020 to 51% in 2021.</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74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739"/>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5"/>
              </w:rPr>
              <w:t>$ change</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4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6"/>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 data)</w:t>
            </w: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66,674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98,752</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32,078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10,132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12,864</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2,732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52,675</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7,697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4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164,291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42,507</w:t>
            </w:r>
          </w:p>
        </w:tc>
        <w:tc>
          <w:tcPr>
            <w:tcW w:w="4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600" w:firstLine="440"/>
        <w:spacing w:after="0" w:line="259" w:lineRule="auto"/>
        <w:rPr>
          <w:sz w:val="20"/>
          <w:szCs w:val="20"/>
          <w:color w:val="auto"/>
        </w:rPr>
      </w:pPr>
      <w:r>
        <w:rPr>
          <w:rFonts w:ascii="Arial" w:cs="Arial" w:eastAsia="Arial" w:hAnsi="Arial"/>
          <w:sz w:val="18"/>
          <w:szCs w:val="18"/>
          <w:color w:val="auto"/>
        </w:rPr>
        <w:t>Our research and development expenses increased by 35% year-over-year to approximately US$164.3 million in 2021. Salary and benefits increased by 48% year-over-year to approximately US$98.8 million in 2021. Stock-based compensation increased by 27% year-over-year to approximately US$12.9 million. Other research and development expenses increased by 17% year-over-year to approximately US$52.7 million, primarily because of higher IC tape-outs and other project expenses in 2021.</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56"/>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5"/>
              </w:rPr>
              <w:t>$ change</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6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36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 of net sales</w:t>
            </w:r>
          </w:p>
        </w:tc>
        <w:tc>
          <w:tcPr>
            <w:tcW w:w="3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 except percentage data)</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15,599</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19,241</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2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607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sales and marketing</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7,206</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5120" w:type="dxa"/>
            <w:vAlign w:val="bottom"/>
          </w:tcPr>
          <w:p>
            <w:pPr>
              <w:spacing w:after="0"/>
              <w:rPr>
                <w:sz w:val="20"/>
                <w:szCs w:val="20"/>
                <w:color w:val="auto"/>
              </w:rPr>
            </w:pPr>
            <w:r>
              <w:rPr>
                <w:rFonts w:ascii="Arial" w:cs="Arial" w:eastAsia="Arial" w:hAnsi="Arial"/>
                <w:sz w:val="18"/>
                <w:szCs w:val="18"/>
                <w:color w:val="auto"/>
              </w:rPr>
              <w:t>Sales and marketing</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28,813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sales and marketing expenses increased by 16% year-over-year to approximately US$28.8 million in 2021. Salary and benefits increased by 23% year-over-year to approximately US$19.2million. Stock-based compensation increased by 35% year-over-year to approximately US$2.4 million in 2021. Other sales and marketing expenses decreased by 15% year-over-year to approximately US$7.2 million.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6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56"/>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5"/>
              </w:rPr>
              <w:t>$ change</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34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3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7"/>
          </w:tcPr>
          <w:p>
            <w:pPr>
              <w:ind w:left="780"/>
              <w:spacing w:after="0" w:line="142" w:lineRule="exact"/>
              <w:rPr>
                <w:sz w:val="20"/>
                <w:szCs w:val="20"/>
                <w:color w:val="auto"/>
              </w:rPr>
            </w:pPr>
            <w:r>
              <w:rPr>
                <w:rFonts w:ascii="Arial" w:cs="Arial" w:eastAsia="Arial" w:hAnsi="Arial"/>
                <w:sz w:val="14"/>
                <w:szCs w:val="14"/>
                <w:b w:val="1"/>
                <w:bCs w:val="1"/>
                <w:color w:val="auto"/>
                <w:w w:val="96"/>
              </w:rPr>
              <w:t>(in thousands, except percentage data)</w:t>
            </w: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12,245</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c>
          <w:tcPr>
            <w:tcW w:w="26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3,926</w:t>
            </w:r>
          </w:p>
        </w:tc>
        <w:tc>
          <w:tcPr>
            <w:tcW w:w="22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1,481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5,651</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15,604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21,822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6,218</w:t>
            </w:r>
          </w:p>
        </w:tc>
        <w:tc>
          <w:tcPr>
            <w:tcW w:w="3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Our general and administrative expenses increased by 40% year-over-year to approximately US$21.8 million in 2021. Salary and benefits increased by 30% year-over-year to approximately US$12.2 million. Stock-based compensation increased by 61% year-over-year to approximately US$3.9 million in 2021. Other general and administrative expenses increased by 52% year-over-year to approximately US$5.7 million.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presents details of total stock-based compensation that is included in each functional line item in our consolidated statements of income: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65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55"/>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5"/>
              </w:rPr>
              <w:t>$ change</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34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3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7"/>
          </w:tcPr>
          <w:p>
            <w:pPr>
              <w:ind w:left="780"/>
              <w:spacing w:after="0" w:line="142" w:lineRule="exact"/>
              <w:rPr>
                <w:sz w:val="20"/>
                <w:szCs w:val="20"/>
                <w:color w:val="auto"/>
              </w:rPr>
            </w:pPr>
            <w:r>
              <w:rPr>
                <w:rFonts w:ascii="Arial" w:cs="Arial" w:eastAsia="Arial" w:hAnsi="Arial"/>
                <w:sz w:val="14"/>
                <w:szCs w:val="14"/>
                <w:b w:val="1"/>
                <w:bCs w:val="1"/>
                <w:color w:val="auto"/>
                <w:w w:val="96"/>
              </w:rPr>
              <w:t>(in thousands, except percentage data)</w:t>
            </w: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10,132</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12,864</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2,732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2,366</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c>
          <w:tcPr>
            <w:tcW w:w="26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3,926</w:t>
            </w:r>
          </w:p>
        </w:tc>
        <w:tc>
          <w:tcPr>
            <w:tcW w:w="22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1,481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14,589</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19,545</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16 to consolidated financial statements for a discussion of activity related to share-based awards.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i w:val="1"/>
          <w:iCs w:val="1"/>
          <w:color w:val="auto"/>
        </w:rPr>
        <w:t xml:space="preserve">Impairment of goodwill and intangible assets. </w:t>
      </w:r>
      <w:r>
        <w:rPr>
          <w:rFonts w:ascii="Arial" w:cs="Arial" w:eastAsia="Arial" w:hAnsi="Arial"/>
          <w:sz w:val="17"/>
          <w:szCs w:val="17"/>
          <w:color w:val="auto"/>
        </w:rPr>
        <w:t>We performed impairment assessments of the carrying value of goodwill and intangible assets on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basis or more frequently, if we believe indicators of impairment exist. During our 2020 assessment, we determined that the goodwill of our Shannon acquisition remained impaired and recognized approximately $17.5 million of impairment expenses.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Gain (loss) from disposal of subsidiary</w:t>
      </w:r>
      <w:r>
        <w:rPr>
          <w:rFonts w:ascii="Arial" w:cs="Arial" w:eastAsia="Arial" w:hAnsi="Arial"/>
          <w:sz w:val="16"/>
          <w:szCs w:val="16"/>
          <w:color w:val="auto"/>
        </w:rPr>
        <w:t>. We realized a loss of US$293 thousand from the disposal of FCI for the year ended December 31, 2020.</w:t>
      </w:r>
    </w:p>
    <w:p>
      <w:pPr>
        <w:spacing w:after="0" w:line="24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i w:val="1"/>
          <w:iCs w:val="1"/>
          <w:color w:val="auto"/>
        </w:rPr>
        <w:t>Gain from disposal of short-term investments</w:t>
      </w:r>
      <w:r>
        <w:rPr>
          <w:rFonts w:ascii="Arial" w:cs="Arial" w:eastAsia="Arial" w:hAnsi="Arial"/>
          <w:sz w:val="18"/>
          <w:szCs w:val="18"/>
          <w:color w:val="auto"/>
        </w:rPr>
        <w:t>. We realized gains of US$169 thousand from the sales of trading securities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decreased to approximately US$1.3 million for the year ended December 31, 2021 from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US$4.6 million for the year ended December 31, 2020.</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to nil for the year ended December 31, 2021 from approximately US$11 thousand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i w:val="1"/>
          <w:iCs w:val="1"/>
          <w:color w:val="auto"/>
        </w:rPr>
        <w:t xml:space="preserve">Foreign exchange gain (loss), net. </w:t>
      </w:r>
      <w:r>
        <w:rPr>
          <w:rFonts w:ascii="Arial" w:cs="Arial" w:eastAsia="Arial" w:hAnsi="Arial"/>
          <w:sz w:val="17"/>
          <w:szCs w:val="17"/>
          <w:color w:val="auto"/>
        </w:rPr>
        <w:t>For the year ended December 31, 2021, we realized a foreign exchange gain of US$193 thousand,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a gain of US$619 thousand for the year ended December 31, 2020. We do not engage in any hedging activities.</w:t>
      </w:r>
    </w:p>
    <w:p>
      <w:pPr>
        <w:spacing w:after="0" w:line="14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was approximately US$47.3 million for the year ended December 31, 2021 compared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approximately US$5.8 million for the year ended December 31, 2020.</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was approximately US$200.0 million for the year ended December 31, 2021 compared to a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US$79.7 million for the year ended December 31, 2020.</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the discussion covering the comparison between the years ended December 31, 2020 and 2019, please refer to “Item 5” of our annual report on Form 20-F for the year ended December 31, 2020 filed with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As of December 31, 2021, we had approximately US$360.1 million in cash and cash equivalents, an increase of US$17.1 million from December 31, 2020. We maintain our cash balances in bank deposits and in money market instruments. We do not engage in any currency hedging activities.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believe cash we expect to generate from operating activities will be sufficient to meet our anticipated working capital needs, capital expenditures, investment requirements, payments of dividends, repurchases of our ADSs and other commitments for at least the next 12 months. Our future capital requirements will depend on many factors, including the level of our net sales, the timing and extent of spending to support product development efforts, the expansion of sales and marketing activities, the timing of introductions of new products, the costs to ensure access to adequate manufacturing capacity, the continuing market acceptance of our products, availability of attractive acquisition and investment opportunities and construction of our Hsinchu and Taipei office buildings. We could be required, or could elect, to seek additional funding through public or private equity or debt financing, and additional funds may not be available on terms acceptable to us or at all.</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8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6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r>
      <w:tr>
        <w:trPr>
          <w:trHeight w:val="119"/>
        </w:trPr>
        <w:tc>
          <w:tcPr>
            <w:tcW w:w="6460" w:type="dxa"/>
            <w:vAlign w:val="bottom"/>
          </w:tcPr>
          <w:p>
            <w:pPr>
              <w:spacing w:after="0"/>
              <w:rPr>
                <w:sz w:val="10"/>
                <w:szCs w:val="10"/>
                <w:color w:val="auto"/>
              </w:rPr>
            </w:pPr>
          </w:p>
        </w:tc>
        <w:tc>
          <w:tcPr>
            <w:tcW w:w="68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US$</w:t>
            </w:r>
          </w:p>
        </w:tc>
        <w:tc>
          <w:tcPr>
            <w:tcW w:w="300" w:type="dxa"/>
            <w:vAlign w:val="bottom"/>
          </w:tcPr>
          <w:p>
            <w:pPr>
              <w:spacing w:after="0"/>
              <w:rPr>
                <w:sz w:val="10"/>
                <w:szCs w:val="10"/>
                <w:color w:val="auto"/>
              </w:rPr>
            </w:pPr>
          </w:p>
        </w:tc>
        <w:tc>
          <w:tcPr>
            <w:tcW w:w="720" w:type="dxa"/>
            <w:vAlign w:val="bottom"/>
            <w:tcBorders>
              <w:top w:val="single" w:sz="8" w:color="auto"/>
            </w:tcBorders>
          </w:tcPr>
          <w:p>
            <w:pPr>
              <w:jc w:val="right"/>
              <w:ind w:right="156"/>
              <w:spacing w:after="0" w:line="119" w:lineRule="exact"/>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0"/>
                <w:szCs w:val="10"/>
                <w:color w:val="auto"/>
              </w:rPr>
            </w:pPr>
          </w:p>
        </w:tc>
      </w:tr>
      <w:tr>
        <w:trPr>
          <w:trHeight w:val="171"/>
        </w:trPr>
        <w:tc>
          <w:tcPr>
            <w:tcW w:w="6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Cash Flow Data:</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Pr>
          <w:p>
            <w:pPr>
              <w:jc w:val="right"/>
              <w:spacing w:after="0"/>
              <w:rPr>
                <w:sz w:val="20"/>
                <w:szCs w:val="20"/>
                <w:color w:val="auto"/>
              </w:rPr>
            </w:pPr>
            <w:r>
              <w:rPr>
                <w:rFonts w:ascii="Arial" w:cs="Arial" w:eastAsia="Arial" w:hAnsi="Arial"/>
                <w:sz w:val="18"/>
                <w:szCs w:val="18"/>
                <w:color w:val="auto"/>
              </w:rPr>
              <w:t>77,695</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117,229</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174,698</w:t>
            </w:r>
          </w:p>
        </w:tc>
        <w:tc>
          <w:tcPr>
            <w:tcW w:w="14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34,668</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(21,545)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(28,164)</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(70,260)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(73,914)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(99,735)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w:t>
            </w:r>
          </w:p>
        </w:tc>
        <w:tc>
          <w:tcPr>
            <w:tcW w:w="14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(11,015)</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(19,545)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(24,657)</w:t>
            </w:r>
          </w:p>
        </w:tc>
      </w:tr>
    </w:tbl>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Our net cash provided by operating activities was approximately US$174.7 million for the year ended December 31, 2021, compared to net cash provided by operating activities of approximately US$117.2 million and US$77.7 million during 2020 and 2019, respectively.</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year ended December 31, 2021, cash flow provided by operations of US$174.7 million resulted primarily from our net income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US$200.0 million and the following reasons:</w:t>
      </w:r>
    </w:p>
    <w:p>
      <w:pPr>
        <w:spacing w:after="0" w:line="116" w:lineRule="exact"/>
        <w:rPr>
          <w:sz w:val="20"/>
          <w:szCs w:val="20"/>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net income includes substantial non-cash charges, namely US$17.2 million of depreciation and amortization and US$19.5 million of stock-based compensation.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working capital increased by US$60.5 million. Inventory increased by US$78.1 million, notes and accounts receivable increased by US$92.7 million, notes and accounts payable increased by US$36.2 million, income tax payable increased by US$37.3 million, and other assets net of other liabilities provided US$36.8 million of cash.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year ended December 31, 2020, cash flow provided by operations of US$117.2 million resulted primarily from our net income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US$79.7 million and the following reasons:</w:t>
      </w:r>
    </w:p>
    <w:p>
      <w:pPr>
        <w:spacing w:after="0" w:line="116" w:lineRule="exact"/>
        <w:rPr>
          <w:sz w:val="20"/>
          <w:szCs w:val="20"/>
          <w:color w:val="auto"/>
        </w:rPr>
      </w:pPr>
    </w:p>
    <w:p>
      <w:pPr>
        <w:ind w:left="1080" w:right="4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net income includes substantial non-cash charges, namely US$13.6 million of depreciation and amortization, US$14.6 million of stock-based compensation and US$17.5 million of impairment of goodwill.</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working capital increased by US$10.2 million. Inventory increased by US$21.7 million, notes and accounts receivable increased by US$7.1 million, notes and accounts payable increased by US$13.8 million, income tax payable increased by US$4.4 million, and other assets net of other liabilities provided US$0.4 million of cash.</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net cash used in investing activities was approximately US$28.2 million for the year ended December 31, 2021, compared to net cash used by investing activities of approximately US$21.5 million for the year ended December 31, 2020. In 2021, we paid US$24.7 million for the routine purchase of software, design tools and other items and invested US$3.5 million in BIWIN and Deep Vision.</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net cash used in investing activities was approximately US$21.5 million for the year ended December 31, 2020, compared to net cash provided by investing activities of approximately US$34.7 million for the year ended December 31, 2019. In 2020, we paid US$19.5 million for the routine purchase of software, design tools and other items and invested US$2.0 million in Deep Vision.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net cash used in financing activities was approximately US$99.7 million for the year ended December 31, 2021, compared to net cash used in financing activities of approximately US$73.9 million for the year ended December 31, 2020. Our cash used in financing activities in 2021 consists primarily of US$54.0 million of dividend payments and US$45.7 million for share repurchases.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net cash used in financing activities was approximately US$73.9 million for the year ended December 31, 2020, compared to net cash used in financing activities of approximately US$70.3 million for the year ended December 31, 2019. Our cash used in financing activities in 2020 consists primarily of US$48.9 million of dividend payments and US$25.0 million for share repurchases.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Return to Shareholders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Dividend. </w:t>
      </w:r>
      <w:r>
        <w:rPr>
          <w:rFonts w:ascii="Arial" w:cs="Arial" w:eastAsia="Arial" w:hAnsi="Arial"/>
          <w:sz w:val="18"/>
          <w:szCs w:val="18"/>
          <w:color w:val="auto"/>
        </w:rPr>
        <w:t>On October 25, 2021, we announced an annual cash dividend of US$2.00 per ADS to be paid in four quarterly installments of US$0.50</w:t>
      </w:r>
      <w:r>
        <w:rPr>
          <w:rFonts w:ascii="Arial" w:cs="Arial" w:eastAsia="Arial" w:hAnsi="Arial"/>
          <w:sz w:val="18"/>
          <w:szCs w:val="18"/>
          <w:i w:val="1"/>
          <w:iCs w:val="1"/>
          <w:color w:val="auto"/>
        </w:rPr>
        <w:t xml:space="preserve"> </w:t>
      </w:r>
      <w:r>
        <w:rPr>
          <w:rFonts w:ascii="Arial" w:cs="Arial" w:eastAsia="Arial" w:hAnsi="Arial"/>
          <w:sz w:val="18"/>
          <w:szCs w:val="18"/>
          <w:color w:val="auto"/>
        </w:rPr>
        <w:t>per ADS, which followed our previous US$1.40 per ADS annual cash dividend. In accordance with our dividend declarations, we paid US$48.9 million and US$54.0 million to shareholders in 2020 and 2021, respectively.</w:t>
      </w:r>
    </w:p>
    <w:p>
      <w:pPr>
        <w:spacing w:after="0" w:line="18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declaration and payment of future cash dividends is subject to our Board’s continuing determination that the payment of dividends is in the best interests of our shareholders and is in compliance with all laws and agreements applicable to the declaration and payment of cash dividends.</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Share Repurchase. </w:t>
      </w:r>
      <w:r>
        <w:rPr>
          <w:rFonts w:ascii="Arial" w:cs="Arial" w:eastAsia="Arial" w:hAnsi="Arial"/>
          <w:sz w:val="18"/>
          <w:szCs w:val="18"/>
          <w:color w:val="auto"/>
        </w:rPr>
        <w:t>On December 7, 2021, our Board of Directors authorized a new share repurchase program to repurchase up to US$200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ADSs over a 6-month period and during the year ended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86"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December 31, 2021, we repurchased 0.6 million ADSs for US$50 million at an average price of US$89.87 per ADS. Our previous share repurchase program, announced on November 21, 2018 and which authorized the repurchase of up to US$200 million of our ADSs over a 24-month period was extend on October 26, 2020 for an additional year. In the year ended December 31, 2020, we repurchased 0.6 million ADSs for US$25.0 million at an average price of US$39.93 per ADS, in the year ended December 31, 2019, we repurchased 0.8 million ADSs for US$25.0 million at an average price of US$32.82 per ADS, and in the year ended December 31, 2018, we repurchased 1.0 million ADSs for US$34.8 million at an average price of US$34.54 per ADS.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Repurchases are made in the open market or according to other methods in compliance with Securities and Exchange Commission Rule 10b-18, subject to market conditions, applicable legal requirements and other factors. Share repurchase plans announced do not obligate us to acquire any particular amount of ADSs and may be suspended at any time at our discretion.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Requirements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material cash requirements include the following contractual and other obligations:</w:t>
      </w:r>
    </w:p>
    <w:p>
      <w:pPr>
        <w:spacing w:after="0" w:line="225"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i w:val="1"/>
          <w:iCs w:val="1"/>
          <w:color w:val="auto"/>
        </w:rPr>
        <w:t xml:space="preserve">Pension Obligations. </w:t>
      </w:r>
      <w:r>
        <w:rPr>
          <w:rFonts w:ascii="Arial" w:cs="Arial" w:eastAsia="Arial" w:hAnsi="Arial"/>
          <w:sz w:val="18"/>
          <w:szCs w:val="18"/>
          <w:color w:val="auto"/>
        </w:rPr>
        <w:t>Pension obligations represent the payments for deferred compensation plan liabilities, see Note 13 Pension Plan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As of December 31, 2021, these obligations totaled $1.8 million. Pension obligation after one year has not been estimated.</w:t>
      </w:r>
    </w:p>
    <w:p>
      <w:pPr>
        <w:spacing w:after="0" w:line="184"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 Operating lease obligations represent the undiscounted remaining lease payments primarily for our leased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see Note 17 Lease in our consolidated financial statements. As of December 31, 2021, these obligations totaled $6.1 million, of which $3.1 million was short-term.</w:t>
      </w:r>
    </w:p>
    <w:p>
      <w:pPr>
        <w:spacing w:after="0" w:line="184"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i w:val="1"/>
          <w:iCs w:val="1"/>
          <w:color w:val="auto"/>
        </w:rPr>
        <w:t xml:space="preserve">Office Building Construction. </w:t>
      </w:r>
      <w:r>
        <w:rPr>
          <w:rFonts w:ascii="Arial" w:cs="Arial" w:eastAsia="Arial" w:hAnsi="Arial"/>
          <w:sz w:val="18"/>
          <w:szCs w:val="18"/>
          <w:color w:val="auto"/>
        </w:rPr>
        <w:t>We won a bid with a third-party to build an office building in Taipei and entered into a property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 May 2021. Based on the terms of the property development agreement, the Company is required to complete construction within three years after the construction license is approved. At this time, we are unable to accurately measure the construction progress and make a reasonably reliable estimate of the timing and future payments to the contractor, see Note 18 Commitments and Contingencies in our consolidated financial statements.</w:t>
      </w:r>
    </w:p>
    <w:p>
      <w:pPr>
        <w:spacing w:after="0" w:line="188"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i w:val="1"/>
          <w:iCs w:val="1"/>
          <w:color w:val="auto"/>
        </w:rPr>
        <w:t xml:space="preserve">Tax Liability. </w:t>
      </w:r>
      <w:r>
        <w:rPr>
          <w:rFonts w:ascii="Arial" w:cs="Arial" w:eastAsia="Arial" w:hAnsi="Arial"/>
          <w:sz w:val="18"/>
          <w:szCs w:val="18"/>
          <w:color w:val="auto"/>
        </w:rPr>
        <w:t>Tax liability represents the provision for income tax and uncertain tax position recognized, see Note 14 Income Taxes.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short-term taxes payable totaled $44.2 million. We increased long-term taxes payable of US$7.3 million related to uncertain tax positions as of December 31, 2021. At this time, we are unable to make a reasonably reliable estimate of the timing of payments in individual years beyond 12 months due to uncertainties in the timing and outcome of a potential tax audit.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refer to Note 2 to the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6.</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Members of our board of directors are elected by our shareholders. Our board of directors consists of nine directors. Our executive officers are appointed by, and serve at the discretion of, our board of directors. The following table sets forth information regarding our directors and executive officers as of the date of this annual report.</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6160" w:type="dxa"/>
            <w:vAlign w:val="bottom"/>
          </w:tcPr>
          <w:p>
            <w:pPr>
              <w:ind w:left="28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2"/>
              </w:rPr>
              <w:t>James</w:t>
            </w:r>
          </w:p>
        </w:tc>
        <w:tc>
          <w:tcPr>
            <w:tcW w:w="3700" w:type="dxa"/>
            <w:vAlign w:val="bottom"/>
          </w:tcPr>
          <w:p>
            <w:pPr>
              <w:ind w:left="120"/>
              <w:spacing w:after="0" w:line="189" w:lineRule="exact"/>
              <w:rPr>
                <w:sz w:val="20"/>
                <w:szCs w:val="20"/>
                <w:color w:val="auto"/>
              </w:rPr>
            </w:pPr>
            <w:r>
              <w:rPr>
                <w:rFonts w:ascii="Arial" w:cs="Arial" w:eastAsia="Arial" w:hAnsi="Arial"/>
                <w:sz w:val="18"/>
                <w:szCs w:val="18"/>
                <w:color w:val="auto"/>
              </w:rPr>
              <w:t>Chow</w:t>
            </w:r>
          </w:p>
        </w:tc>
        <w:tc>
          <w:tcPr>
            <w:tcW w:w="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71</w:t>
            </w:r>
          </w:p>
        </w:tc>
        <w:tc>
          <w:tcPr>
            <w:tcW w:w="320" w:type="dxa"/>
            <w:vAlign w:val="bottom"/>
          </w:tcPr>
          <w:p>
            <w:pPr>
              <w:spacing w:after="0"/>
              <w:rPr>
                <w:sz w:val="16"/>
                <w:szCs w:val="16"/>
                <w:color w:val="auto"/>
              </w:rPr>
            </w:pPr>
          </w:p>
        </w:tc>
        <w:tc>
          <w:tcPr>
            <w:tcW w:w="6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of the Board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Wallace C. Kou</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6160" w:type="dxa"/>
            <w:vAlign w:val="bottom"/>
          </w:tcPr>
          <w:p>
            <w:pPr>
              <w:spacing w:after="0"/>
              <w:rPr>
                <w:sz w:val="20"/>
                <w:szCs w:val="20"/>
                <w:color w:val="auto"/>
              </w:rPr>
            </w:pPr>
            <w:r>
              <w:rPr>
                <w:rFonts w:ascii="Arial" w:cs="Arial" w:eastAsia="Arial" w:hAnsi="Arial"/>
                <w:sz w:val="18"/>
                <w:szCs w:val="18"/>
                <w:color w:val="auto"/>
              </w:rPr>
              <w:t>President, Chief Executive Officer and Managing 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Steve Chen</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Tsung-Ming Chung</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Lien-Chun Liu</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Yung-Chien Wang</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Han-Ping D. Shieh</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Kenneth Kuan-Ming Lin</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Riyadh Lai</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6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Nelson Duann</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6160" w:type="dxa"/>
            <w:vAlign w:val="bottom"/>
          </w:tcPr>
          <w:p>
            <w:pPr>
              <w:spacing w:after="0"/>
              <w:rPr>
                <w:sz w:val="20"/>
                <w:szCs w:val="20"/>
                <w:color w:val="auto"/>
              </w:rPr>
            </w:pPr>
            <w:r>
              <w:rPr>
                <w:rFonts w:ascii="Arial" w:cs="Arial" w:eastAsia="Arial" w:hAnsi="Arial"/>
                <w:sz w:val="18"/>
                <w:szCs w:val="18"/>
                <w:color w:val="auto"/>
              </w:rPr>
              <w:t>Senior VP of Marketing &amp; R&amp;D and Director</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Arthur Yeh</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6160" w:type="dxa"/>
            <w:vAlign w:val="bottom"/>
          </w:tcPr>
          <w:p>
            <w:pPr>
              <w:spacing w:after="0"/>
              <w:rPr>
                <w:sz w:val="20"/>
                <w:szCs w:val="20"/>
                <w:color w:val="auto"/>
              </w:rPr>
            </w:pPr>
            <w:r>
              <w:rPr>
                <w:rFonts w:ascii="Arial" w:cs="Arial" w:eastAsia="Arial" w:hAnsi="Arial"/>
                <w:sz w:val="18"/>
                <w:szCs w:val="18"/>
                <w:color w:val="auto"/>
              </w:rPr>
              <w:t>VP of Sales, Asia and Greater China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Robert Fan</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6160" w:type="dxa"/>
            <w:vAlign w:val="bottom"/>
          </w:tcPr>
          <w:p>
            <w:pPr>
              <w:spacing w:after="0"/>
              <w:rPr>
                <w:sz w:val="20"/>
                <w:szCs w:val="20"/>
                <w:color w:val="auto"/>
              </w:rPr>
            </w:pPr>
            <w:r>
              <w:rPr>
                <w:rFonts w:ascii="Arial" w:cs="Arial" w:eastAsia="Arial" w:hAnsi="Arial"/>
                <w:sz w:val="18"/>
                <w:szCs w:val="18"/>
                <w:color w:val="auto"/>
              </w:rPr>
              <w:t>President of SMI USA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Ken Chen</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6160" w:type="dxa"/>
            <w:vAlign w:val="bottom"/>
          </w:tcPr>
          <w:p>
            <w:pPr>
              <w:spacing w:after="0"/>
              <w:rPr>
                <w:sz w:val="20"/>
                <w:szCs w:val="20"/>
                <w:color w:val="auto"/>
              </w:rPr>
            </w:pPr>
            <w:r>
              <w:rPr>
                <w:rFonts w:ascii="Arial" w:cs="Arial" w:eastAsia="Arial" w:hAnsi="Arial"/>
                <w:sz w:val="18"/>
                <w:szCs w:val="18"/>
                <w:color w:val="auto"/>
              </w:rPr>
              <w:t>VP of Operations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Kevin Yeh</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6160" w:type="dxa"/>
            <w:vAlign w:val="bottom"/>
          </w:tcPr>
          <w:p>
            <w:pPr>
              <w:spacing w:after="0"/>
              <w:rPr>
                <w:sz w:val="20"/>
                <w:szCs w:val="20"/>
                <w:color w:val="auto"/>
              </w:rPr>
            </w:pPr>
            <w:r>
              <w:rPr>
                <w:rFonts w:ascii="Arial" w:cs="Arial" w:eastAsia="Arial" w:hAnsi="Arial"/>
                <w:sz w:val="18"/>
                <w:szCs w:val="18"/>
                <w:color w:val="auto"/>
              </w:rPr>
              <w:t>VP of R&amp;D, Algorithm &amp; Technology</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Kevin Tsai</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6160" w:type="dxa"/>
            <w:vAlign w:val="bottom"/>
          </w:tcPr>
          <w:p>
            <w:pPr>
              <w:spacing w:after="0"/>
              <w:rPr>
                <w:sz w:val="20"/>
                <w:szCs w:val="20"/>
                <w:color w:val="auto"/>
              </w:rPr>
            </w:pPr>
            <w:r>
              <w:rPr>
                <w:rFonts w:ascii="Arial" w:cs="Arial" w:eastAsia="Arial" w:hAnsi="Arial"/>
                <w:sz w:val="18"/>
                <w:szCs w:val="18"/>
                <w:color w:val="auto"/>
              </w:rPr>
              <w:t>Senior Director of R&amp;D, System Validation</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James Chow, Chairman of the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Mr. Chow has served as the Chairman of our board of directors since April 2005. Mr. Chow has been the Chairman of Concord Financial Co., Ltd.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1993. Concord Financial Co., Ltd. is an investment holding company. Mr. Chow has an MBA from Columbia University.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Wallace C. Kou, President, Chief Executive Officer, Managing Director</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Mr. Kou founded Silicon Motion in 1995 and has been our President and Chief Executive Officer since our founding. Prior to founding Silicon Motion, Mr. Kou was the Vice President and Chief Architect at the Multimedia Products Division of Western Digital Corporation, which developed graphics processors for notebook PCs and was sold to Philips Semiconductor in 1995. Before Western Digital, Mr. Kou worked for Wyse Technology. Mr. Kou has a BS in Electrical &amp; Control Engineering from the National Chiao Tung University in Taiwan and an MS in Electrical &amp; Computer Engineering from the University of California at Santa Barbara.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Steve Chen, Director</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Mr. Chen joined our board of directors in 2012. Mr. Chen is the chairman of Mercuries Co., Ltd. Mr. Chen has dual M. Eng. from Cornell University.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Tsung-Ming Chung, Director</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Chung joined our board of directors in June 2005. Mr. Chung is the Chairman of Dynapack International Technology Corp., a leading provider of battery packs for notebook PCs and tablets. From 1985 to 2000, Mr. Chung was an audit partner at Arthur Andersen. He is also a director at Far East International Bank and Fubon Hyundai Life Insurance Corporation. Mr. Chung has a BA in Business Administration from the National Taiwan University and an MBA from the National Cheng-chi University in Taiwan.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Lien-Chun Liu, Director</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Ms. Liu joined our board of directors in June 2005. She is Vice President of the International Council of Women and currently also serves on the board of supervisors of Concord VIII Venture Capital Co., Ltd. and the board of directors of New Tamsui Golf Course. She was formerly a research fellow at the Taiwan Research Institute and served on the board of supervisors of China Television Corp. from 2000 to 2004. Ms. Liu has a BA from Wellesley College and a JD from Boston College Law School.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Yung-Chien Wang, Director</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Mr. Wang joined our board of directors in June 2005. Mr. Wang has over 20 years of working experience in the human resource and legal services industries. Mr. Wang has been a consultant of Professional Trust Co., Ltd., a human resource consulting firm in Taiwan since August 1998 and is currently its Vice President. Mr. Wang has a law degree from Fu Jen Catholic University in Taiwan.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Han-Ping D. Shieh, Director</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Mr. Shieh joined our board of directors in 2014. He is Life Chair Professor at National Yang Ming Chiao Tung University (NYCU) in Taiwan, a fellow of the Institute of Electrical and Electronics Engineers (IEEE), the Optical Society of American (OSA) and the Society for Information Display (SID) and a board member of Tailiang Technology Inc., Dynapack International Tech. Corp., and Focal Tech. Inc. Mr. Shieh received his PhD in Electrical and Computer Engineering from Carnegie Mellon University in 1987. He joined National Chiao Tung University (NCTU) as a professor in 1992 and was previously a Research Staff Member at the IBM Thomas J. Watson Research Center. He was the Dean of the College of Electrical and Computer Engineering and a Senior Vice President of NCTU and a Vice Chancellor of the University System of Taiwan.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Kenneth Kuan-Ming Lin, Director</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Mr. Lin joined our board of directors in September 2018. Mr. Lin was previously a director on our board from 2009 to 2014. Mr. Lin is the Chairman of Premier Capital Management Corp., Ruby Tech Corp. and Taiwan Health Care Association, Chief Executive Officer of SINOCON Industrial Standards Foundation and Deputy Secretary-General of Cross-Strait CEO Summit. He was previously the Chairman of the Taiwan Venture Capital Association and the Taiwan Private Equity Association. Mr. Lin has a BS in Electrical Engineering from the National Taiwan University.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Riyadh Lai, Chief Financial Officer</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Mr. Lai joined us in April 2007 from ING Corporate Finance, Asia, where he was the Head of the Technology Group. Previously, he was also an investment banker at Morgan Stanley and ABN AMRO and finance manager at PepsiCo in Hong Kong and New York. Mr. Lai has over two decades of finance and financial management experience. He has a BA in Economics from Georgetown University and an MBA from New York University.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Nelson Duann, Senior VP of Marketing and R&amp;D and Director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Mr. Duann became our Senior Vice President of marketing and R&amp;D for mobile storage in November 2018. He joined Silicon Motion in August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2007 as a product marketing director and R&amp;D team leader. Mr. Duann has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8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over 20 years of experience in the semiconductor industry in product design, development and marketing. Prior to Silicon Motion, he worked for Sun Microsystems focusing on UltraSPARC microprocessor projects. He has an MS in Communications Engineering from National Chiao Tung University in Taiwan and an MS in Electrical Engineering from Stanford University.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Arthur Yeh, VP of Sales, Asia and Greater China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Yeh has served as our Vice President of our mobile storage sales since November 2004. Mr. Yeh has over 20 years of sales experience managing marketing strategies, including product promotions and sales activities for semiconductor products. Mr. Yeh previously served in management positions at VIA Technologies for 10 years and joined us in 2004. Mr. Yeh holds an MS degree in Management Business Administration from the National Chung Hsing University in Taiwan.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Robert Fan, President of SMI USA</w:t>
      </w:r>
    </w:p>
    <w:p>
      <w:pPr>
        <w:spacing w:after="0" w:line="12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Mr. Fan has served as President of SMI USA, our business operations in the Americas and Europe since November 2016. He also oversees corporate market communications, public relations and our graphics product line. Mr. Fan has over 25 years of sales and marketing experience and joined Silicon Motion in May 2013. Prior to Silicon Motion, Mr. Fan served in executive management roles at Spansion, IDT, Staktek, and at two venture capital-backed startups. He also spent over nine years at Intel in sales, marketing and management positions and was a chip designer earlier in his career. Mr. Fan holds a BS in EECS from UC Berkeley, an MSEE from Santa Clara University and completed the General Management Executive Program at McCombs School of Business, University of Texas.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Ken Chen, VP of Operations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Mr. Chen has served as our Vice President of operations since November 2003. Mr. Chen has over 20 years of manufacturing and operations experience in the semiconductor industry managing supply chain and virtual manufacturing systems including wafer fabrication, mask tooling, as well as assembly and testing. Mr. Chen previously served in management positions at Faraday Technology and UMC, and joined us in 2003. Mr. Chen has a BS in Industrial Engineering from Chung Yuan Christian University in Taiwan and an MS in Industrial Engineering and Engineering Management from the National Tsing Hua University, Taiwan.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Kevin Yeh, VP of R&amp;D, Algorithm &amp; Technology</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Mr. Yeh became our Vice President of research and development in August 2012. He joined Silicon Motion in September 2003 as a product marketing director, before leading our Algorithm and Technology R&amp;D team. Mr. Yeh has more than 20 years of experience in semiconductor product design, development and marketing. Prior to Silicon Motion, Mr. Yeh worked at TSMC, Neo Magic, VLSI Technology and LSI. Mr. Yeh holds a BS degree in Control Engineering from National Chiao Tung University in Taiwan and an MS degree in Electronic Engineering from Syracuse University.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Kevin Tsai, VP of R&amp;D, System Validation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Mr. Tsai joined us in January 2020 with approximately 30 years of storage industry R&amp;D experience relating to SSDs, HDDs and ODDs. Prior to joining Silicon Motion, he was the VP of R&amp;D for DRAM module and Flash-related applications at TIGO Semiconductor and had also worked at Lite-on and Taiwan’s Industrial Technology Research Institute (ITRI). Mr. Tsai holds an MS degree in Communications Engineering from National Chiao Tung University in Taiwan.</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is no arrangement or understanding with major shareholders, customers, suppliers or others pursuant to which any person referred to above was selected as a director or member of senior management.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6"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is responsible for reviewing the financial information that will be provided to shareholders and others,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reviewing the systems of internal controls that management and the board of directors have established, appointing, retaining and overseeing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performance of independent registered public accounting firms, overseeing our accounting and financial reporting processes and the audits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consolidated financial statements, and pre-approving audit and permissible non-audit services provided by independent registered public accounting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firms. Tsung-Ming Chung, Lien-Chun Liu, and Yung-Chien Wang are members of our audit committee. Our board of directors has determined that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Chung, the Chairman of the audit committee, is the committee’s “Audit Committee Financial Expert” as required by Nasdaq and the U.S.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Exchange Commission (“SEC”) rules.</w:t>
      </w:r>
    </w:p>
    <w:p>
      <w:pPr>
        <w:spacing w:after="0" w:line="21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compensation committee’s basic responsibility is to review the performance and development of management in</w:t>
      </w:r>
      <w:r>
        <w:rPr>
          <w:rFonts w:ascii="Arial" w:cs="Arial" w:eastAsia="Arial" w:hAnsi="Arial"/>
          <w:sz w:val="17"/>
          <w:szCs w:val="17"/>
          <w:i w:val="1"/>
          <w:iCs w:val="1"/>
          <w:color w:val="auto"/>
        </w:rPr>
        <w:t xml:space="preserve"> </w:t>
      </w:r>
      <w:r>
        <w:rPr>
          <w:rFonts w:ascii="Arial" w:cs="Arial" w:eastAsia="Arial" w:hAnsi="Arial"/>
          <w:sz w:val="17"/>
          <w:szCs w:val="17"/>
          <w:color w:val="auto"/>
        </w:rPr>
        <w:t>achieving corporate goals and objectives and to assure that our senior executives are compensated effectively in a manner consistent with our strategy, competitive practice and the requirements of the appropriate regulatory bodies. Toward that end, this committee oversees, reviews and administers all of our compensation, equity and employee benefit plans and programs. Lien-Chun Liu, Steve Chen, and Yung-Chien Wang are members of our compensation committee, with Mr. Chen serving as the Chairman of the committee.</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Nominating and Corporate Governance Committee</w:t>
      </w:r>
      <w:r>
        <w:rPr>
          <w:rFonts w:ascii="Arial" w:cs="Arial" w:eastAsia="Arial" w:hAnsi="Arial"/>
          <w:sz w:val="18"/>
          <w:szCs w:val="18"/>
          <w:color w:val="auto"/>
        </w:rPr>
        <w:t>. The nominating and corporate governance committee is responsible for overseeing, reviewing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making periodic recommendations concerning our corporate governance policies, and for recommending to the full board of directors candidates for election to the board of directors. Lien-Chun Liu, Steve Chen, and Yung-Chien Wang are members of our nominating and corporate governance committee, with Ms. Liu serving as the Chairman of the committee.</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Our board of directors has adopted a code of ethics, which is applicable to all of our employees. Our Code of Ethics is posted on our website at </w:t>
      </w:r>
      <w:r>
        <w:rPr>
          <w:rFonts w:ascii="Arial" w:cs="Arial" w:eastAsia="Arial" w:hAnsi="Arial"/>
          <w:sz w:val="18"/>
          <w:szCs w:val="18"/>
          <w:u w:val="single" w:color="auto"/>
          <w:color w:val="auto"/>
        </w:rPr>
        <w:t>www.siliconmotion.com</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the best interests of our company. Our directors also have a duty to exercise the care, diligence and skills that a reasonably prudent person would exercise in comparable circumstances. In fulfilling their duty of care to our company, our directors must ensure compliance with our memorandum and articles of association. The functions and powers of our board of directors include, among others:</w:t>
      </w:r>
    </w:p>
    <w:p>
      <w:pPr>
        <w:spacing w:after="0" w:line="9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convening shareholders’ meetings and reporting its work to shareholders at such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implementing shareholders’ resolutions;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determining our business plans and investment proposals;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formulating our profit distribution plans and loss recovery plans;</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determining our debt and finance policies and proposals for the increase or decrease in our registered capital and the issuance of debentures;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formulating our major acquisition and disposition plans, and plans for merger, division or dissolution;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proposing amendments to our amended and restated memorandum and articles of association;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exercising any other powers conferred by the shareholders’ meetings or under our amended and restated memorandum and articles of association.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Under Cayman Islands law and our articles of association, our directors hold office until a successor has been duly elected and qualified. Our articles of association provide that our directors serve for a term of three years, with one-third of the directors (or, if their number is not a multiple of three, the number nearest to but not greater than one-third) subject to re-election at each annual general meeting of shareholders (chairman and managing director not subject to retirement by rotation nor to be taken into account in determining the number of directors to retire), unless the director was appointed by the board of directors, in which case such director holds office until the next annual meeting of shareholders at which time such director is eligible for re-election. One of our seven directors is currently subject to re-election at our next annual general meeting of shareholders. All of our executive officers are appointed by and serve at the discretion of our board of directors.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Other Indemnification Matters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Cayman Islands law and our articles of association allow us to indemnify our directors, secretary and other officers acting in relation to any of our affairs against actions, costs, charges, losses, damages and expenses incurred by reason of any act done or omitted in the execution of their duties as our directors, secretary and other officers. Under our memorandum and articles of association, indemnification is not available to any matter in respect of any fraud, dishonesty, willful misconduct or bad faith which may attach to any of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year ended December 31, 2021, the aggregate compensation to our directors and senior executive officers was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US$4.23 million. In 2021, we granted restricted stock units to our executive officers as a group to acquire an aggregate of 559,200 ordinary shares.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stock units granted to our executive officers and non-executive directors are subject to the same vesting conditions as those of our employees.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Contracts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do not have service contracts with our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 Plans and Option Grants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On June 3, 2015, the board of directors adopted the 2015 Incentive Plan (the “2015 Plan”). The 2015 Plan reserved 20,000,000 ordinary shares for issuance upon exercise of stock options and restricted stock units. The Plans provide for the grant of stock options, stock bonuses, restricted stock awards, restricted stock units and stock appreciation rights, which may be granted to our employees (including officers), directors and consultants.</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aggregate number of ordinary shares that may be issued pursuant to awards granted under the 2015 Plan will not exceed</w:t>
      </w:r>
      <w:r>
        <w:rPr>
          <w:rFonts w:ascii="Arial" w:cs="Arial" w:eastAsia="Arial" w:hAnsi="Arial"/>
          <w:sz w:val="18"/>
          <w:szCs w:val="18"/>
          <w:i w:val="1"/>
          <w:iCs w:val="1"/>
          <w:color w:val="auto"/>
        </w:rPr>
        <w:t xml:space="preserve"> </w:t>
      </w:r>
      <w:r>
        <w:rPr>
          <w:rFonts w:ascii="Arial" w:cs="Arial" w:eastAsia="Arial" w:hAnsi="Arial"/>
          <w:sz w:val="18"/>
          <w:szCs w:val="18"/>
          <w:color w:val="auto"/>
        </w:rPr>
        <w:t>20,000,000. Guidelines for Issuance and Subscription of Employee Stock Option, which options we have, subject to the consent of the respective option-holders, agreed to assume in the share exchange.</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types of shares issued under the Plans may again become available for the grant of new awards under the Plans: restricted stock issued under the Plans that is forfeited or repurchased by us prior to it becoming fully vested; shares withheld for taxes; shares tendered to us to pay the exercise price of an option; and shares subject to awards issued under the Plans that have expired or otherwise terminated without having been exercised in full.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board of directors will administer the Plans and may delegate this authority to administer the plan to a committee.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of the Plans, the plan administrator, which is our board of directors or its authorized committee, determines recipients, grant dates, the amounts and types of stock awards to be granted and the terms and conditions of the stock awards, including the period of their exercisability and vesting. Subject to certain limitations, the plan administrator will also determine the exercise price of options granted, the purchase price for restricted stock and restricted stock units, and, if applicable, the strike price for stock appreciation rights.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Capitalization adjustments</w:t>
      </w:r>
      <w:r>
        <w:rPr>
          <w:rFonts w:ascii="Arial" w:cs="Arial" w:eastAsia="Arial" w:hAnsi="Arial"/>
          <w:sz w:val="18"/>
          <w:szCs w:val="18"/>
          <w:color w:val="auto"/>
        </w:rPr>
        <w:t>. In the event of a dividend or other distribution (whether in the form of cash, ordinary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reorganization, merger, consolidation, exchange of our ordinary shares or our other securities, or other change in our corporate structure, the board of directors may adjust the number and class of shares that may be delivered under the Plans and the number, class and price of the shares covered by each outstanding stock award.</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Changes in control</w:t>
      </w:r>
      <w:r>
        <w:rPr>
          <w:rFonts w:ascii="Arial" w:cs="Arial" w:eastAsia="Arial" w:hAnsi="Arial"/>
          <w:sz w:val="17"/>
          <w:szCs w:val="17"/>
          <w:color w:val="auto"/>
        </w:rPr>
        <w:t>. In the event of a change in control of the company, all outstanding options and other awards under the Plans may be assumed,</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or substituted for by any surviving or acquiring entity. If the surviving or acquiring entity elects not to assume, continue or substitute for such awards, the vesting of such awards held by award holders whose service with us or any of our affiliates has not terminated will be accelerated and such awards will be fully vested and exercisable immediately prior to the consummation of such transaction, and the stock awards shall automatically terminate upon consummation of such transaction if not exercised prior to such event.</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 xml:space="preserve">Future amendments and termination. </w:t>
      </w:r>
      <w:r>
        <w:rPr>
          <w:rFonts w:ascii="Arial" w:cs="Arial" w:eastAsia="Arial" w:hAnsi="Arial"/>
          <w:sz w:val="18"/>
          <w:szCs w:val="18"/>
          <w:color w:val="auto"/>
        </w:rPr>
        <w:t>The board of directors may amend (subject to shareholder approval if required by applicable law), suspend</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terminate the 2015 Plan at any time. The 2015 Plan will terminate pursuant to its terms on June 3, 2025.</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number of our employees categorized by function as of the dates indicated.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7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3"/>
              </w:rPr>
              <w:t>As of December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and administration</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2021, we had 1,434 total employees, including 1,142 in Taiwan, 35 in the United States, 237 in China, 10 in Korea, and 10 in Japan. 1,221 of our total employees are engineers.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have any collective bargaining arrangements with our employees and consider our relations with our employees to be good.</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Ownership</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Under U.S. securities law,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the beneficial owner of any securities of which that person has a right to acquire beneficial ownership within 60 days. Under these rules, more than one person may be deemed a beneficial owner of securities as to which such person has no economic interest.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There were 137,745,440 of our ordinary shares outstanding as of March 31, 2022. The following table sets forth information with respect to the beneficial ownership of our ordinary shares as of March 31, 2022, less otherwise indicated in the footnotes, by each of our directors and officers:</w:t>
      </w:r>
    </w:p>
    <w:p>
      <w:pPr>
        <w:spacing w:after="0" w:line="142"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Shares Beneficially</w:t>
      </w:r>
    </w:p>
    <w:p>
      <w:pPr>
        <w:jc w:val="center"/>
        <w:ind w:left="6600"/>
        <w:spacing w:after="0" w:line="236" w:lineRule="auto"/>
        <w:rPr>
          <w:sz w:val="20"/>
          <w:szCs w:val="20"/>
          <w:color w:val="auto"/>
        </w:rPr>
      </w:pPr>
      <w:r>
        <w:rPr>
          <w:rFonts w:ascii="Arial" w:cs="Arial" w:eastAsia="Arial" w:hAnsi="Arial"/>
          <w:sz w:val="14"/>
          <w:szCs w:val="14"/>
          <w:b w:val="1"/>
          <w:bCs w:val="1"/>
          <w:color w:val="auto"/>
        </w:rPr>
        <w:t>Owned</w:t>
      </w:r>
    </w:p>
    <w:tbl>
      <w:tblPr>
        <w:tblLayout w:type="fixed"/>
        <w:tblInd w:w="1440" w:type="dxa"/>
        <w:tblCellMar>
          <w:top w:w="0" w:type="dxa"/>
          <w:left w:w="0" w:type="dxa"/>
          <w:bottom w:w="0" w:type="dxa"/>
          <w:right w:w="0" w:type="dxa"/>
        </w:tblCellMar>
      </w:tblPr>
      <w:tr>
        <w:trPr>
          <w:trHeight w:val="142"/>
        </w:trPr>
        <w:tc>
          <w:tcPr>
            <w:tcW w:w="6680" w:type="dxa"/>
            <w:vAlign w:val="bottom"/>
          </w:tcPr>
          <w:p>
            <w:pPr>
              <w:spacing w:after="0"/>
              <w:rPr>
                <w:sz w:val="12"/>
                <w:szCs w:val="12"/>
                <w:color w:val="auto"/>
              </w:rPr>
            </w:pPr>
          </w:p>
        </w:tc>
        <w:tc>
          <w:tcPr>
            <w:tcW w:w="11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Officers and Directors:</w:t>
            </w: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8"/>
                <w:szCs w:val="18"/>
                <w:color w:val="auto"/>
              </w:rPr>
              <w:t xml:space="preserve">James Chow </w:t>
            </w:r>
            <w:r>
              <w:rPr>
                <w:rFonts w:ascii="Arial" w:cs="Arial" w:eastAsia="Arial" w:hAnsi="Arial"/>
                <w:sz w:val="25"/>
                <w:szCs w:val="25"/>
                <w:color w:val="auto"/>
                <w:vertAlign w:val="superscript"/>
              </w:rPr>
              <w:t>(1)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2,021,266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Wallace C. Kou</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1,727,248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Steve Chen</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70,000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Tsung-Ming Chung</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Lien-Chun Liu</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254,280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Yung-Chien Wang</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834,674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Han-Ping D. Shieh</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51,246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Kenneth Kuan-Ming Lin</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8"/>
                <w:szCs w:val="18"/>
                <w:color w:val="auto"/>
              </w:rPr>
              <w:t xml:space="preserve">Riyadh Lai </w:t>
            </w:r>
            <w:r>
              <w:rPr>
                <w:rFonts w:ascii="Arial" w:cs="Arial" w:eastAsia="Arial" w:hAnsi="Arial"/>
                <w:sz w:val="25"/>
                <w:szCs w:val="25"/>
                <w:color w:val="auto"/>
                <w:vertAlign w:val="superscript"/>
              </w:rPr>
              <w:t>(2)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1,818,180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Nelson Duann</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Arthur Yeh</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58,524</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Robert Fan</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8"/>
                <w:szCs w:val="18"/>
                <w:color w:val="auto"/>
              </w:rPr>
              <w:t xml:space="preserve">Ken Chen </w:t>
            </w:r>
            <w:r>
              <w:rPr>
                <w:rFonts w:ascii="Arial" w:cs="Arial" w:eastAsia="Arial" w:hAnsi="Arial"/>
                <w:sz w:val="25"/>
                <w:szCs w:val="25"/>
                <w:color w:val="auto"/>
                <w:vertAlign w:val="superscript"/>
              </w:rPr>
              <w:t>(3)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222,449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Kevin Yeh</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60,400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Kevin Tsai</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5,600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40" w:hanging="424"/>
        <w:spacing w:after="0" w:line="25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2,021,266 shares owned by Mr. Chow. Mr. Chow is the chairman of Concord Consulting Inc. and Concord Financial Co. Ltd. which owned 42,445 and 196,491 shares, respectively. Mr. Chow disclaims any beneficial ownership of these shares.</w:t>
      </w: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998,300 shares owned by Mr. Lai and 819,880 shares owned by his spouse.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216,724 shares owned by Mr. Chen and 5,725 shares owned by his spouse.</w:t>
      </w:r>
    </w:p>
    <w:p>
      <w:pPr>
        <w:spacing w:after="0" w:line="35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7.</w:t>
      </w:r>
      <w:r>
        <w:rPr>
          <w:sz w:val="20"/>
          <w:szCs w:val="20"/>
          <w:color w:val="auto"/>
        </w:rPr>
        <w:tab/>
      </w:r>
      <w:r>
        <w:rPr>
          <w:rFonts w:ascii="Arial" w:cs="Arial" w:eastAsia="Arial" w:hAnsi="Arial"/>
          <w:sz w:val="18"/>
          <w:szCs w:val="18"/>
          <w:b w:val="1"/>
          <w:bCs w:val="1"/>
          <w:color w:val="auto"/>
        </w:rPr>
        <w:t>M</w:t>
      </w:r>
      <w:r>
        <w:rPr>
          <w:rFonts w:ascii="Arial" w:cs="Arial" w:eastAsia="Arial" w:hAnsi="Arial"/>
          <w:sz w:val="14"/>
          <w:szCs w:val="14"/>
          <w:b w:val="1"/>
          <w:bCs w:val="1"/>
          <w:color w:val="auto"/>
        </w:rPr>
        <w:t>AJOR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As of March 31, 2022, there were 137,745,440 of our ordinary shares outstanding. The Bank of New York Mellon, the depositary under our ADS deposit agreement, has advised us that as of March 31, 2022, we had 34,362,378 ADSs, representing 137,449,512 ordinary shares.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with respect to the beneficial ownership of more than 5% of our ordinary shares as of March 31, 2022:</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Identity of person or group</w:t>
            </w:r>
          </w:p>
        </w:tc>
        <w:tc>
          <w:tcPr>
            <w:tcW w:w="1560" w:type="dxa"/>
            <w:vAlign w:val="bottom"/>
            <w:gridSpan w:val="2"/>
          </w:tcPr>
          <w:p>
            <w:pPr>
              <w:jc w:val="right"/>
              <w:ind w:right="757"/>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58"/>
        </w:trPr>
        <w:tc>
          <w:tcPr>
            <w:tcW w:w="8560" w:type="dxa"/>
            <w:vAlign w:val="bottom"/>
            <w:gridSpan w:val="2"/>
            <w:vMerge w:val="continue"/>
          </w:tcPr>
          <w:p>
            <w:pPr>
              <w:spacing w:after="0"/>
              <w:rPr>
                <w:sz w:val="13"/>
                <w:szCs w:val="13"/>
                <w:color w:val="auto"/>
              </w:rPr>
            </w:pPr>
          </w:p>
        </w:tc>
        <w:tc>
          <w:tcPr>
            <w:tcW w:w="1560" w:type="dxa"/>
            <w:vAlign w:val="bottom"/>
            <w:gridSpan w:val="2"/>
          </w:tcPr>
          <w:p>
            <w:pPr>
              <w:jc w:val="right"/>
              <w:ind w:right="677"/>
              <w:spacing w:after="0" w:line="158" w:lineRule="exact"/>
              <w:rPr>
                <w:sz w:val="20"/>
                <w:szCs w:val="20"/>
                <w:color w:val="auto"/>
              </w:rPr>
            </w:pPr>
            <w:r>
              <w:rPr>
                <w:rFonts w:ascii="Arial" w:cs="Arial" w:eastAsia="Arial" w:hAnsi="Arial"/>
                <w:sz w:val="14"/>
                <w:szCs w:val="14"/>
                <w:b w:val="1"/>
                <w:bCs w:val="1"/>
                <w:color w:val="auto"/>
                <w:w w:val="85"/>
              </w:rPr>
              <w:t>shares owned</w:t>
            </w:r>
          </w:p>
        </w:tc>
        <w:tc>
          <w:tcPr>
            <w:tcW w:w="9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8"/>
              </w:rPr>
              <w:t xml:space="preserve">Owned </w:t>
            </w:r>
            <w:r>
              <w:rPr>
                <w:rFonts w:ascii="Arial" w:cs="Arial" w:eastAsia="Arial" w:hAnsi="Arial"/>
                <w:sz w:val="10"/>
                <w:szCs w:val="10"/>
                <w:b w:val="1"/>
                <w:bCs w:val="1"/>
                <w:color w:val="auto"/>
                <w:w w:val="98"/>
              </w:rPr>
              <w:t>(1)</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shd w:val="clear" w:color="auto" w:fill="000000"/>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ARGA Investment Management, LP and Avula Rama Krishna.</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7,688,452</w:t>
            </w:r>
          </w:p>
        </w:tc>
        <w:tc>
          <w:tcPr>
            <w:tcW w:w="720" w:type="dxa"/>
            <w:vAlign w:val="bottom"/>
            <w:shd w:val="clear" w:color="auto" w:fill="CCEEFF"/>
          </w:tcPr>
          <w:p>
            <w:pPr>
              <w:jc w:val="right"/>
              <w:ind w:right="477"/>
              <w:spacing w:after="0" w:line="141" w:lineRule="exact"/>
              <w:rPr>
                <w:sz w:val="20"/>
                <w:szCs w:val="20"/>
                <w:color w:val="auto"/>
              </w:rPr>
            </w:pPr>
            <w:r>
              <w:rPr>
                <w:rFonts w:ascii="Arial" w:cs="Arial" w:eastAsia="Arial" w:hAnsi="Arial"/>
                <w:sz w:val="13"/>
                <w:szCs w:val="13"/>
                <w:color w:val="auto"/>
              </w:rPr>
              <w:t>(2)</w:t>
            </w: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30"/>
        </w:trPr>
        <w:tc>
          <w:tcPr>
            <w:tcW w:w="8560" w:type="dxa"/>
            <w:vAlign w:val="bottom"/>
            <w:gridSpan w:val="2"/>
          </w:tcPr>
          <w:p>
            <w:pPr>
              <w:spacing w:after="0"/>
              <w:rPr>
                <w:sz w:val="20"/>
                <w:szCs w:val="20"/>
                <w:color w:val="auto"/>
              </w:rPr>
            </w:pPr>
            <w:r>
              <w:rPr>
                <w:rFonts w:ascii="Arial" w:cs="Arial" w:eastAsia="Arial" w:hAnsi="Arial"/>
                <w:sz w:val="18"/>
                <w:szCs w:val="18"/>
                <w:color w:val="auto"/>
              </w:rPr>
              <w:t>Cardinal Capital Management, LLC.</w:t>
            </w:r>
          </w:p>
        </w:tc>
        <w:tc>
          <w:tcPr>
            <w:tcW w:w="1560" w:type="dxa"/>
            <w:vAlign w:val="bottom"/>
            <w:gridSpan w:val="2"/>
          </w:tcPr>
          <w:p>
            <w:pPr>
              <w:jc w:val="right"/>
              <w:ind w:right="477"/>
              <w:spacing w:after="0"/>
              <w:rPr>
                <w:sz w:val="20"/>
                <w:szCs w:val="20"/>
                <w:color w:val="auto"/>
              </w:rPr>
            </w:pPr>
            <w:r>
              <w:rPr>
                <w:rFonts w:ascii="Arial" w:cs="Arial" w:eastAsia="Arial" w:hAnsi="Arial"/>
                <w:sz w:val="18"/>
                <w:szCs w:val="18"/>
                <w:color w:val="auto"/>
                <w:w w:val="94"/>
              </w:rPr>
              <w:t xml:space="preserve">7,535,696 </w:t>
            </w:r>
            <w:r>
              <w:rPr>
                <w:rFonts w:ascii="Arial" w:cs="Arial" w:eastAsia="Arial" w:hAnsi="Arial"/>
                <w:sz w:val="25"/>
                <w:szCs w:val="25"/>
                <w:color w:val="auto"/>
                <w:w w:val="94"/>
                <w:vertAlign w:val="superscript"/>
              </w:rPr>
              <w:t>(3)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0"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137,745,440 ordinary shares outstanding as of March 31, 2022.</w:t>
      </w:r>
    </w:p>
    <w:p>
      <w:pPr>
        <w:spacing w:after="0" w:line="23" w:lineRule="exact"/>
        <w:rPr>
          <w:rFonts w:ascii="Arial" w:cs="Arial" w:eastAsia="Arial" w:hAnsi="Arial"/>
          <w:sz w:val="18"/>
          <w:szCs w:val="18"/>
          <w:color w:val="auto"/>
        </w:rPr>
      </w:pPr>
    </w:p>
    <w:p>
      <w:pPr>
        <w:ind w:left="540" w:right="44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ARGA Investment Management, LP and Avula Rama Krishna held 1,922,113 ADSs (representing 7,688,452 ordinary shares), according to a Schedule 13G dated February 11, 2019.</w:t>
      </w:r>
    </w:p>
    <w:p>
      <w:pPr>
        <w:ind w:left="540" w:right="34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Cardinal Capital Management, LLC beneficially owns 1,883,924 ADSs (representing 7,535,696 ordinary shares) according to a Schedule 13G filed February 14, 2022. In its prior Schedule 13G filing from February 17, 2021, Cardinal Capital Management, LLC held 2,428,722 ADSs (representing 9,714,888 ordinary shares).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To our knowledge, we are not owned or controlled, directly or indirectly, by another corporation, by any foreign government or by any other natural or legal persons, severally or jointly. We are not aware of any current arrangement which may at a later date result in a change of control of our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holder of our ordinary shares has preferential voting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related party transactions occurred during the year ended December 31, 2021.</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8.</w:t>
      </w:r>
      <w:r>
        <w:rPr>
          <w:sz w:val="20"/>
          <w:szCs w:val="20"/>
          <w:color w:val="auto"/>
        </w:rPr>
        <w:tab/>
      </w:r>
      <w:r>
        <w:rPr>
          <w:rFonts w:ascii="Arial" w:cs="Arial" w:eastAsia="Arial" w:hAnsi="Arial"/>
          <w:sz w:val="18"/>
          <w:szCs w:val="18"/>
          <w:b w:val="1"/>
          <w:bCs w:val="1"/>
          <w:color w:val="auto"/>
        </w:rPr>
        <w:t>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18. Financial Statements” and pages F-1 through F-30 of this annual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an active operating company, we are subject to legal proceedings and claims, either asserted or unasserted, which arise in the ordinary course of business. Although the outcome of such proceedings and claims cannot be predicted with certainty, management does not believe that the outcome of any of these matters will have a material adverse effect on our business, results of operations, financial position or cash flows. Any litigation, however, involves potential risk and potentially significant litigation costs, and therefore there can be no assurance that any litigation which is now pending or which may arise in the future would not have such material adverse effect on our business, financial position, results of operations or cash flows. In furtherance of the above, on April 5, 2022, we were named as defendant in a patent infringement lawsuit which was filed in the United States District Court for the Eastern District of Texas, Marshall Divisions. The plaintiff in such matter is Rampart Asset Management LLC. As of the date of this annual report on Form 20-F, we have not been served with a complaint in this matter. As the case is in its preliminary phase, we are currently evaluating the merits of such claim and intends to defend such claim vigorously.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significant changes have occurred since the date of our audited consolidated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86"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9.</w:t>
      </w:r>
      <w:r>
        <w:rPr>
          <w:sz w:val="20"/>
          <w:szCs w:val="20"/>
          <w:color w:val="auto"/>
        </w:rPr>
        <w:tab/>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FFER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Share Price Information</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ADSs, each representing four of our ordinary shares, have been listed on Nasdaq since June 30, 2005. Our ADSs trade under the symbol “SIMO.” The Nasdaq Global Select Market is the principal trading market for our ADSs, which are not listed on any other exchanges in or outside the United States. The high and low sales prices of our ADSs on Nasdaq since 2017 are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620" w:type="dxa"/>
            <w:vAlign w:val="bottom"/>
            <w:gridSpan w:val="4"/>
          </w:tcPr>
          <w:p>
            <w:pPr>
              <w:ind w:left="160"/>
              <w:spacing w:after="0"/>
              <w:rPr>
                <w:sz w:val="20"/>
                <w:szCs w:val="20"/>
                <w:color w:val="auto"/>
              </w:rPr>
            </w:pPr>
            <w:r>
              <w:rPr>
                <w:rFonts w:ascii="Arial" w:cs="Arial" w:eastAsia="Arial" w:hAnsi="Arial"/>
                <w:sz w:val="14"/>
                <w:szCs w:val="14"/>
                <w:b w:val="1"/>
                <w:bCs w:val="1"/>
                <w:color w:val="auto"/>
              </w:rPr>
              <w:t>Price per ADS (US$)</w:t>
            </w: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w:t>
            </w: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2017</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55.68</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37.37</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61.85</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31.73</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2019</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50.87</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30.86</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53.04</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26.72</w:t>
            </w:r>
          </w:p>
        </w:tc>
      </w:tr>
      <w:tr>
        <w:trPr>
          <w:trHeight w:val="230"/>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96.73</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46.54</w:t>
            </w:r>
          </w:p>
        </w:tc>
      </w:tr>
      <w:tr>
        <w:trPr>
          <w:trHeight w:val="94"/>
        </w:trPr>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First Quarter, 2020</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53.04</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26.72</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2020</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52.46</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35.11</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Third Quarter, 2020</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50.42</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35.13</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2020</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48.39</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35.16</w:t>
            </w:r>
          </w:p>
        </w:tc>
      </w:tr>
      <w:tr>
        <w:trPr>
          <w:trHeight w:val="324"/>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First Quarter, 2021</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67.69</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46.54</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2021</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74.10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60.00</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Third Quarter, 2021</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81.87</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58.86</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2021</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96.73</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66.06</w:t>
            </w:r>
          </w:p>
        </w:tc>
      </w:tr>
      <w:tr>
        <w:trPr>
          <w:trHeight w:val="324"/>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First Quarter, 2022</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96.89</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64.41</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Second Quarter, 2022 </w:t>
            </w:r>
            <w:r>
              <w:rPr>
                <w:rFonts w:ascii="Arial" w:cs="Arial" w:eastAsia="Arial" w:hAnsi="Arial"/>
                <w:sz w:val="25"/>
                <w:szCs w:val="25"/>
                <w:color w:val="auto"/>
                <w:vertAlign w:val="superscript"/>
              </w:rPr>
              <w:t>(1)</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80.00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65.03</w:t>
            </w:r>
          </w:p>
        </w:tc>
      </w:tr>
      <w:tr>
        <w:trPr>
          <w:trHeight w:val="324"/>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Monthly</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November 2021</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73.40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67.52</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December 2021</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96.73</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69.25</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January 2022</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96.89</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76.92</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February 2022</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84.17</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69.20</w:t>
            </w: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March 2022</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73.80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64.41</w:t>
            </w:r>
          </w:p>
        </w:tc>
      </w:tr>
      <w:tr>
        <w:trPr>
          <w:trHeight w:val="330"/>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 xml:space="preserve">April 2022 </w:t>
            </w:r>
            <w:r>
              <w:rPr>
                <w:rFonts w:ascii="Arial" w:cs="Arial" w:eastAsia="Arial" w:hAnsi="Arial"/>
                <w:sz w:val="25"/>
                <w:szCs w:val="25"/>
                <w:color w:val="auto"/>
                <w:vertAlign w:val="superscript"/>
              </w:rPr>
              <w:t>(1)</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80.00</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w w:val="93"/>
              </w:rPr>
              <w:t>65.03</w:t>
            </w:r>
          </w:p>
        </w:tc>
      </w:tr>
      <w:tr>
        <w:trPr>
          <w:trHeight w:val="21"/>
        </w:trPr>
        <w:tc>
          <w:tcPr>
            <w:tcW w:w="1220" w:type="dxa"/>
            <w:vAlign w:val="bottom"/>
            <w:tcBorders>
              <w:bottom w:val="single" w:sz="8" w:color="auto"/>
            </w:tcBorders>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60" w:type="dxa"/>
            <w:vAlign w:val="bottom"/>
            <w:gridSpan w:val="3"/>
          </w:tcPr>
          <w:p>
            <w:pPr>
              <w:spacing w:after="0"/>
              <w:rPr>
                <w:sz w:val="20"/>
                <w:szCs w:val="20"/>
                <w:color w:val="auto"/>
              </w:rPr>
            </w:pPr>
            <w:r>
              <w:rPr>
                <w:rFonts w:ascii="Arial" w:cs="Arial" w:eastAsia="Arial" w:hAnsi="Arial"/>
                <w:sz w:val="18"/>
                <w:szCs w:val="18"/>
                <w:color w:val="auto"/>
              </w:rPr>
              <w:t>(1)   Through April 22, 2022.</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80"/>
        </w:trPr>
        <w:tc>
          <w:tcPr>
            <w:tcW w:w="122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10.</w:t>
            </w:r>
          </w:p>
        </w:tc>
        <w:tc>
          <w:tcPr>
            <w:tcW w:w="6840" w:type="dxa"/>
            <w:vAlign w:val="bottom"/>
            <w:gridSpan w:val="2"/>
          </w:tcPr>
          <w:p>
            <w:pPr>
              <w:ind w:left="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Memorandum and Articles of Association</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9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information called for by Item 10B (“Memorandum and Articles of Association”) is incorporated by reference to the information under the heading “Description of Share Capital” in our Registration Statement on Form F-1, as amended (Registration Number 333-125673) and as filed with the SEC on June 5, 2005.</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have not entered into any material contracts within the past two fiscal years other than in the ordinary course of business and other than those described in Item 4, “Information on the Company” or elsewhere in this annual report.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8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“Policy on Dividend Distributions”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discussion summarizes certain U.S. federal income tax consequences to a U.S. Holder, as defined below, who purchases our ADSs and ordinary shares. This discussion assumes that investors will hold their ADSs or ordinary shares as capital assets (generally, property held for investment). This discussion does not discuss all aspects of U.S. federal income taxation which may be important to particular investors in light of their individual circumstances, including investors subject to special taxation, such as:</w:t>
      </w:r>
    </w:p>
    <w:p>
      <w:pPr>
        <w:spacing w:after="0" w:line="92"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brokers and dealers in securities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tax-exempt organizations and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hedging, conversion, constructive sale, straddle or other integrated transactions;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who acquired their ordinary shares upon the exercise of employee stock options or otherwise as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who have elected the mark-to-market method of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who own 10% or more of our ADSs or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Non-U.S. Holders (as defined below).</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This discussion is based in part on representations by the depositary and assumes that each obligation under the deposit agreement and any related agreement will be performed in accordance with its terms. Furthermore, the discussion below is based upon the provisions of the Internal Revenue Code of 1986, as amended (the “Code”), and U.S. Treasury regulations, rulings and judicial decisions hereunder as of the date hereof. Such authorities are subject to change, possibly on a retroactive basis, which may result in U.S. federal income tax consequences different from those discussed below.</w:t>
      </w:r>
    </w:p>
    <w:p>
      <w:pPr>
        <w:spacing w:after="0" w:line="153"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A person considering an investment in our ADSs or ordinary shares is urged to consult its tax advisor concerning U.S. federal, state, local and non-U.S. income and other tax consequences.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Holder is a beneficial owner of ADSs or ordinary shares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citizen or resident individual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86"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if it is subject to the primary supervision of a court within the United States and one or more U.S. persons have the authority to control all substantial decisions of the trust or has a valid election in effect under applicable U.S. Treasury regulations to be treated as a U.S. person.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beneficial owner of ADSs or ordinary shares that is not a U.S. Holder is referred to herein as a “Non-U.S. Holder.” If a partnership or limited liability company treated as a partnership for U.S. federal income tax purposes holds ADSs or ordinary shares, the tax treatment of a partner or member will generally depend on the status of the partner or member and the activities of the partnership or such limited liability company. A partner of a partnership or a member of such a limited liability company holding ADSs or ordinary shares is urged to consult its tax advisors regarding an investment in our ADSs or ordinary shares.</w:t>
      </w:r>
    </w:p>
    <w:p>
      <w:pPr>
        <w:spacing w:after="0" w:line="188"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i w:val="1"/>
          <w:iCs w:val="1"/>
          <w:color w:val="auto"/>
        </w:rPr>
        <w:t>ADSs</w:t>
      </w:r>
      <w:r>
        <w:rPr>
          <w:rFonts w:ascii="Arial" w:cs="Arial" w:eastAsia="Arial" w:hAnsi="Arial"/>
          <w:sz w:val="16"/>
          <w:szCs w:val="16"/>
          <w:color w:val="auto"/>
        </w:rPr>
        <w:t>. In general, for U.S. federal income tax purposes, a U.S. Holder of ADSs will be treated as the owner of the underlying ordinary shares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represented by such ADSs. Deposits and withdrawals of ordinary shares in exchange for ADSs will not be subject to U.S. federal income taxation.</w:t>
      </w:r>
    </w:p>
    <w:p>
      <w:pPr>
        <w:spacing w:after="0" w:line="124"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i w:val="1"/>
          <w:iCs w:val="1"/>
          <w:color w:val="auto"/>
        </w:rPr>
        <w:t>Distributions on ADSs or ordinary shares</w:t>
      </w:r>
      <w:r>
        <w:rPr>
          <w:rFonts w:ascii="Arial" w:cs="Arial" w:eastAsia="Arial" w:hAnsi="Arial"/>
          <w:sz w:val="17"/>
          <w:szCs w:val="17"/>
          <w:color w:val="auto"/>
        </w:rPr>
        <w:t>. Unless the passive foreign investment company rules, as discussed below, apply, the gross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distributions in respect of the ADSs or ordinary shares will be subject to tax as dividend income to the extent of our current and accumulated earnings and profits, as determined under U.S. federal income tax principles. Subject to certain limitations, dividends paid to non-corporate U.S. Holders, including individuals, may be eligible for a reduced rate of taxation if we are deemed to be a “qualified foreign corporation” for U.S. federal income tax purposes, provided that such holder satisfies certain holding period requirements with respect to the ownership of our ADSs or ordinary shares. Subject to the exceptions discussed below, a corporation is a qualified foreign corporation if it is:</w:t>
      </w:r>
    </w:p>
    <w:p>
      <w:pPr>
        <w:spacing w:after="0" w:line="83" w:lineRule="exact"/>
        <w:rPr>
          <w:sz w:val="20"/>
          <w:szCs w:val="20"/>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foreign corporation that is eligible for the benefits of a comprehensive income tax treaty with the United States that includes an exchange of information program; or</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foreign corporation if its stock with respect to which a dividend is paid or its ADSs backed by such stock are readily tradable on an established securities market within the United States.</w:t>
      </w:r>
    </w:p>
    <w:p>
      <w:pPr>
        <w:spacing w:after="0" w:line="170"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Cayman Islands does not currently have a comprehensive income tax treaty with the United States. A foreign corporation (even if it is described above) does not constitute a qualified foreign corporation if, for the taxable year in which the dividend is paid or the preceding taxable year, the foreign corporation is or was a passive foreign investment company. Although we believe that we are a qualified foreign corporation because the ADSs will be traded on an established U.S. securities market and, as discussed below, we believe that we were not a passive foreign investment company for our 2021 tax year, no assurance can be given in this regard. In addition, our status as a qualified foreign corporation may change. A U.S. Holder that exchanges its ADSs for ordinary shares may not be eligible for the reduced rate of taxation on dividends if the ordinary shares are not deemed to be readily tradable on an established securities market within the United States.</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Dividends will be includable in a U.S. Holder’s gross income on the date actually or constructively received by the depositary, in the case of ADSs or, in the case of ordinary shares, by such U.S. Holder. These dividends will not be eligible for the dividends-received deduction generally allowed to U.S. corporations in respect of dividends received from other U.S. corporations.</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To the extent we pay dividends on the ADSs or ordinary shares in a currency other than the U.S. dollar, the U.S. dollar value of such dividends should be calculated by reference to the exchange rate prevailing on the date of actual or constructive receipt of the dividend, regardless of whether the foreign currency is converted into U.S. dollars at that time. If the foreign currency is converted into U.S. dollars on the date of actual or constructive receipt of such dividends, the tax basis of the U.S. Holder in such foreign currency will be equal to its U.S. dollar value on that date and, as a result, the U.S. Holder generally should not be required to recognize any foreign currency exchange gain or loss. Dividends paid in respect of the ADSs or ordinary shares generally will be treated as income from sources outside the United States.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the extent that the amount of any distribution exceeds our current and accumulated earnings and profits, the distribution will first be treated as a tax-free return of capital, causing a reduction in the adjusted basis of the ADSs or ordinary shares, and the balance in excess of adjusted basis will be taxed as capital gain.</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Sale, exchange or other disposition of ADSs or ordinary shares</w:t>
      </w:r>
      <w:r>
        <w:rPr>
          <w:rFonts w:ascii="Arial" w:cs="Arial" w:eastAsia="Arial" w:hAnsi="Arial"/>
          <w:sz w:val="16"/>
          <w:szCs w:val="16"/>
          <w:color w:val="auto"/>
        </w:rPr>
        <w:t>. Unless the passive foreign investment company rules, as discussed below, apply,</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sale, exchange or other disposition of ADSs or ordinary shares a U.S. Holder generally will recognize capital gain or loss equal to the difference between the amount realized upon the sale, exchange or other disposition and the adjusted tax basis of the U.S. Holder in the ADSs or ordinary shares. The capital gain or loss generally will be long-term capital gain or loss if, at the time of sale, exchange or other disposition, the U.S. Holder has held the ADS or ordinary share for more than one year. Net long-term capital gains of non-corporate U.S. Holders, including individuals, are eligible for reduced rates of taxation. The deductibility of capital losses is subject to limitations. Any gain or loss that a U.S. Holder recognizes generally will be treated as gain or loss from sources within the United States for U.S. foreign tax credit limitation purposes.</w:t>
      </w:r>
    </w:p>
    <w:p>
      <w:pPr>
        <w:spacing w:after="0" w:line="16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Additional tax on net investment income</w:t>
      </w:r>
      <w:r>
        <w:rPr>
          <w:rFonts w:ascii="Arial" w:cs="Arial" w:eastAsia="Arial" w:hAnsi="Arial"/>
          <w:sz w:val="18"/>
          <w:szCs w:val="18"/>
          <w:color w:val="auto"/>
        </w:rPr>
        <w:t>. An additional 3.8% federal income tax may be assessed on net investment income (including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distributions, and gain realized on the sale of ADSs or ordinary shares) earned by certain U.S. Holders. This tax does not apply to U.S. Holders who hold ADSs or ordinary shares in the ordinary course of certain trades or businesses.</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Passive foreign investment company rules</w:t>
      </w:r>
      <w:r>
        <w:rPr>
          <w:rFonts w:ascii="Arial" w:cs="Arial" w:eastAsia="Arial" w:hAnsi="Arial"/>
          <w:sz w:val="17"/>
          <w:szCs w:val="17"/>
          <w:color w:val="auto"/>
        </w:rPr>
        <w:t>. In general, we will be classified as a passive foreign investment company for any taxable year in which</w:t>
      </w:r>
      <w:r>
        <w:rPr>
          <w:rFonts w:ascii="Arial" w:cs="Arial" w:eastAsia="Arial" w:hAnsi="Arial"/>
          <w:sz w:val="17"/>
          <w:szCs w:val="17"/>
          <w:i w:val="1"/>
          <w:iCs w:val="1"/>
          <w:color w:val="auto"/>
        </w:rPr>
        <w:t xml:space="preserve"> </w:t>
      </w:r>
      <w:r>
        <w:rPr>
          <w:rFonts w:ascii="Arial" w:cs="Arial" w:eastAsia="Arial" w:hAnsi="Arial"/>
          <w:sz w:val="17"/>
          <w:szCs w:val="17"/>
          <w:color w:val="auto"/>
        </w:rPr>
        <w:t>either (a) at least 75% of our gross income is passive income or (b) at least 50% of the value (determined on the basis of a quarterly average) of our assets is attributable to assets that produce or are held for the production of passive income. For this purpose, passive income generally includes dividends, interest, royalties, rents (other than rents and royalties derived in the active conduct of a trade or business and not derived from a related person), annuities and gains from assets that produce passive income. If we own directly or indirectly at least 25% by value of the equity shares of another corporation, we will be treated for purposes of the passive foreign investment company tests as owning a proportionate share of the assets of the other corporation, and as receiving directly a proportionate share of the other corporation’s income.</w:t>
      </w:r>
    </w:p>
    <w:p>
      <w:pPr>
        <w:spacing w:after="0" w:line="17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believe, based on our present and projected composition of our income and valuation of our assets, we were not classified as a passive foreign investment company for U.S. federal income tax purposes for our 2021 tax year, although no assurance can be given in this regard. Whether we are a passive foreign investment company for any particular taxable year is determined on an annual basis and will depend on the composition of our income and assets, including goodwill. The calculation of goodwill will be based, in part, on the then market value of our capital stock, which is subject to fluctuation. Accordingly, there can be no assurance that we will not be classified as a passive foreign investment company in the current or any future taxable year.</w:t>
      </w:r>
    </w:p>
    <w:p>
      <w:pPr>
        <w:spacing w:after="0" w:line="192"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If we are a passive foreign investment company for any taxable year during which a U.S. Holder has an equity interest in our company, unless the U.S. Holder makes a mark-to-market election as discussed below, such U.S. Holder will be subject to special tax rules in any future taxable year regardless of whether we are classified as a passive foreign investment company in such future years with respect to (a) “excess distributions” and</w:t>
      </w:r>
    </w:p>
    <w:p>
      <w:pPr>
        <w:spacing w:after="0" w:line="2" w:lineRule="exact"/>
        <w:rPr>
          <w:sz w:val="20"/>
          <w:szCs w:val="20"/>
          <w:color w:val="auto"/>
        </w:rPr>
      </w:pPr>
    </w:p>
    <w:p>
      <w:pPr>
        <w:ind w:left="120" w:right="60" w:hanging="4"/>
        <w:spacing w:after="0" w:line="250"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gain from the disposition of stock. Excess distributions are defined generally as the excess of the amount received with respect to the equity interests in the taxable year over 125% of the average annual distributions</w:t>
      </w:r>
    </w:p>
    <w:p>
      <w:pPr>
        <w:ind w:left="120" w:right="120"/>
        <w:spacing w:after="0" w:line="290" w:lineRule="auto"/>
        <w:rPr>
          <w:rFonts w:ascii="Arial" w:cs="Arial" w:eastAsia="Arial" w:hAnsi="Arial"/>
          <w:sz w:val="18"/>
          <w:szCs w:val="18"/>
          <w:color w:val="auto"/>
        </w:rPr>
      </w:pPr>
      <w:r>
        <w:rPr>
          <w:rFonts w:ascii="Arial" w:cs="Arial" w:eastAsia="Arial" w:hAnsi="Arial"/>
          <w:sz w:val="16"/>
          <w:szCs w:val="16"/>
          <w:color w:val="auto"/>
        </w:rPr>
        <w:t>received in the shorter of either the three previous years or a U.S. Holder’s holding period before the taxable year and must be allocated ratably to each day of the U.S. Holder’s holding period. The amount allocated to the current taxable year or any year before we became a passive foreign investment company will be included as ordinary income in a U.S. Holder’s gross income for that year. The amount allocated to other prior taxable years will be taxed as ordinary income at the highest rate in effect for a U.S. Holder in that prior year and the tax is subject to an interest charge at the rate applicable to deficiencies in income taxes. The entire amount of any gain realized upon the sale or other disposition of the equity interests will be treated as an excess distribution made in the year of sale or other disposition and as a consequence will be treated as ordinary income and, to the extent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86"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allocated to years prior to the year of sale or disposition with respect to which we were a passive foreign investment company, will be subject to the interest charge described above.</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certain circumstances, instead of being subject to the excess distribution rules discussed above, a U.S. Holder may make an election to include gain on the ADSs or ordinary shares of a passive foreign investment company as ordinary income under a mark-to-market method, provided that the ADSs or ordinary shares are regularly traded on a qualified exchange. Under current law, the mark-to-market election is only available for ADSs or ordinary shares that are regularly traded within the meaning of U.S. Treasury regulations on certain designated U.S. exchanges and foreign exchanges that meet trading, listing, financial disclosure and other requirements to be treated as a qualified exchange under applicable U.S. Treasury regulations. The Nasdaq Stock Market is a qualified exchange. The ordinary shares may not be eligible for mark-to-market treatment under the foregoing rule even if the ADSs otherwise satisfy the applicable requirement.</w:t>
      </w:r>
    </w:p>
    <w:p>
      <w:pPr>
        <w:spacing w:after="0" w:line="17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If a U.S. Holder makes a mark-to-market election, the U.S. Holder will include each year as ordinary income, rather than capital gain, the excess, if any, of the fair market value of the U.S. Holder’s ADSs or ordinary shares at the end of the taxable year over such U.S. Holder’s adjusted basis in the ADSs (or ordinary shares, if applicable) and will be permitted an ordinary loss in respect of the excess, if any, of the adjusted basis of these ADSs or ordinary shares over their fair market value at the end of the taxable year, but only to the extent of the net amount previously included in income as a result of the mark-to-market election. A U.S. Holder’s basis in the ADSs or ordinary shares will be adjusted to reflect any such income or loss amounts. Any gain or loss on the sale of the ADSs or ordinary shares will be ordinary income or loss, except that this loss will be ordinary loss only to the extent of the previously included net mark-to-market gain.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are a passive foreign investment company, then under certain circumstances a U.S. Holder must file Internal Revenue Service Form 8621.</w:t>
      </w:r>
    </w:p>
    <w:p>
      <w:pPr>
        <w:spacing w:after="0" w:line="24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 xml:space="preserve">Information Reporting and Back-up Withholding. </w:t>
      </w:r>
      <w:r>
        <w:rPr>
          <w:rFonts w:ascii="Arial" w:cs="Arial" w:eastAsia="Arial" w:hAnsi="Arial"/>
          <w:sz w:val="17"/>
          <w:szCs w:val="17"/>
          <w:color w:val="auto"/>
        </w:rPr>
        <w:t>The Foreign Account Tax Compliance Act (“FATCA”) generally requires that individuals that</w:t>
      </w:r>
      <w:r>
        <w:rPr>
          <w:rFonts w:ascii="Arial" w:cs="Arial" w:eastAsia="Arial" w:hAnsi="Arial"/>
          <w:sz w:val="17"/>
          <w:szCs w:val="17"/>
          <w:i w:val="1"/>
          <w:iCs w:val="1"/>
          <w:color w:val="auto"/>
        </w:rPr>
        <w:t xml:space="preserve"> </w:t>
      </w:r>
      <w:r>
        <w:rPr>
          <w:rFonts w:ascii="Arial" w:cs="Arial" w:eastAsia="Arial" w:hAnsi="Arial"/>
          <w:sz w:val="17"/>
          <w:szCs w:val="17"/>
          <w:color w:val="auto"/>
        </w:rPr>
        <w:t>hold certain specified foreign financial assets worth in excess of certain thresholds of $50,000 or more, depending on the individual’s circumstances, report such ownership to the IRS using IRS Form 8938.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A U.S. Holder may be subject to this reporting requirement unless such holder’s ADSs or ordinary shares are held in an account at a domestic financial institution. The penalty for failing to file Form 8938 is substantial.</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U.S. holders generally are subject to information reporting requirements with respect to dividends on, or proceeds from the disposition of, our ordinary shares. In addition, a U.S. holder may be subject, under certain circumstances, to backup withholding at a rate of up to 24% with respect to dividends paid on, or proceeds from the disposition of, our ordinary shares unless the U.S. holder provides proof of an applicable exemption or correct taxpayer identification number, and otherwise complies with the applicable requirements of the backup withholding rules. A U.S. holder of our ordinary shares who provides an incorrect taxpayer identification number may be subject to penalties imposed by the IRS. Amounts withheld under the backup withholding rules are not an additional tax and may be refunded or credited against the U.S. holder’s U.S. federal income tax liability, provided the required information is furnished to the IRS.</w:t>
      </w:r>
    </w:p>
    <w:p>
      <w:pPr>
        <w:spacing w:after="0" w:line="19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A U.S. Holder is urged to consult its tax advisor concerning the U.S. federal income tax consequences of an investment in our ADSs or ordinary shares if we are or become a passive foreign investment company, including the possibility of making a mark-to-market election.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taxes likely to be material to our company levied by the Government of the Cayman Islands except for stamp duties that may be applicable on instruments executed in, or after execution brought within the jurisdiction of, the Cayman Islands. The Cayman Islands are not party to any double taxation treaties. There are no exchange control regulations or currency restrictions in the Cayman Islands.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pursuant to Section 6 of the Tax Concessions Law (1999 Revision) of the Cayman Islands, obtained an undertaking from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Governor-in-Council that:</w:t>
      </w:r>
    </w:p>
    <w:p>
      <w:pPr>
        <w:spacing w:after="0" w:line="116" w:lineRule="exact"/>
        <w:rPr>
          <w:sz w:val="20"/>
          <w:szCs w:val="20"/>
          <w:color w:val="auto"/>
        </w:rPr>
      </w:pPr>
    </w:p>
    <w:p>
      <w:pPr>
        <w:ind w:left="1080" w:right="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law which is enacted in the Cayman Islands imposing any tax to be levied on profits or income or gains or appreciation applies to us or our operations; and</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aforesaid tax or any tax in the nature of estate duty or inheritance tax are not payable on our ordinary shares, debentures or other obligations.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undertaking that we have obtained is for a period of 20 years from March 1, 2005.</w:t>
      </w:r>
    </w:p>
    <w:p>
      <w:pPr>
        <w:spacing w:after="0" w:line="225"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December 2018, the Cayman Islands published The International Tax Co-operation (Economic Substance) Law in response to the OECD’s Base Erosion and Profit Shifting (BEPS) standards. Silicon Motion Technology Corp. is a Cayman company and may be affected by the new law’s economic substance requirements, which require companies registered in the Cayman Islands to show business activity in the Caymans, tax residency elsewhere, or be subject to penalties. Economic substance requirements will apply to existing Cayman companies, such as our company, from July 1, 2019. See “Risk Factor — The enactment of legislation implementing changes in taxation of international business activities, the adoption of other tax reform policies or change in tax legislation or policies could materially impact our financial position and results of operations.”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previously filed with the SEC our registration statement on Form F-6 under the Securities Act of 1933, as amended (the “Securities Act”) with respect to our ADSs.</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are subject to the periodic reporting and other informational requirements of the U.S. Securities Exchange Act of 1934, as amended (the “Exchange Act”). Under the Exchange Act, we are required to file reports and other information with the SEC. Specifically, we are required to file annually a Form 20-F no later than four months after the close of each fiscal year, which is December 31. As a foreign private issuer, we are exempt from the rules under the Exchange Act prescribing the furnishing and content of quarterly reports and proxy statements, and our officers, directors, and principal shareholders are exempt from the reporting and short-swing profit recovery provisions of Section 16 of the Exchange Act.</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Copies of reports and other information, when so filed, may be inspected without charge and may be obtained at prescribed rates at the public reference facilities maintained by the Securities and Exchange Commission at the SEC’s public reference room in Washington D.C. at 100 F Street, N.E., Room 1580, Washington D.C. 20549. You can request copies of these documents upon payment of a duplicating fee, by writing to the SEC. Please call the SEC at 1-800-SEC-0330 for further information on the operation of the public reference rooms. The SEC also maintains a Website at www.sec.gov that contains reports, proxy and information statements, and other information regarding registrants that make electronic filings with the SEC using its EDGAR system.</w:t>
      </w:r>
    </w:p>
    <w:p>
      <w:pPr>
        <w:spacing w:after="0" w:line="33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11.</w:t>
      </w:r>
      <w:r>
        <w:rPr>
          <w:sz w:val="20"/>
          <w:szCs w:val="20"/>
          <w:color w:val="auto"/>
        </w:rPr>
        <w:tab/>
      </w:r>
      <w:r>
        <w:rPr>
          <w:rFonts w:ascii="Arial" w:cs="Arial" w:eastAsia="Arial" w:hAnsi="Arial"/>
          <w:sz w:val="18"/>
          <w:szCs w:val="18"/>
          <w:b w:val="1"/>
          <w:bCs w:val="1"/>
          <w:color w:val="auto"/>
        </w:rPr>
        <w:t>Q</w:t>
      </w:r>
      <w:r>
        <w:rPr>
          <w:rFonts w:ascii="Arial" w:cs="Arial" w:eastAsia="Arial" w:hAnsi="Arial"/>
          <w:sz w:val="14"/>
          <w:szCs w:val="14"/>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ISCLOSURES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BOUT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Our exposure to changes in interest rates is limited to interest income generated by our cash deposited with banks and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maintained in principal protected notes. We have not entered into any interest rate swap transactions. We do not believe that a 1% change in interest rates would have a significant impact on our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The majority of our revenue, cost of sales, accounts receivable, inventory and accounts payable are denominated in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dollars. The majority of our operating expense relating to salaries and benefits and accounts payable related to these expenses are denominated in foreign currencies, primarily the NT dollar. Fluctuations in currency exchange rates could harm our business in the future. We do not utilize foreign exchange derivatives contracts to protect against changes in foreign exchange rates.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Also refer to “Risk Factors — Our business, financial condition and results of operations could be adversely affected by the political and economic conditions of the countries in which we conduct business and other factors related to our international operations, such as Russia’s invasion of Ukraine.”</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Investment Risk. </w:t>
      </w:r>
      <w:r>
        <w:rPr>
          <w:rFonts w:ascii="Arial" w:cs="Arial" w:eastAsia="Arial" w:hAnsi="Arial"/>
          <w:sz w:val="17"/>
          <w:szCs w:val="17"/>
          <w:color w:val="auto"/>
        </w:rPr>
        <w:t>We invest in equity instruments of privately held companies. We have minority stake equity investments in Cashido, Vastview,</w:t>
      </w:r>
      <w:r>
        <w:rPr>
          <w:rFonts w:ascii="Arial" w:cs="Arial" w:eastAsia="Arial" w:hAnsi="Arial"/>
          <w:sz w:val="17"/>
          <w:szCs w:val="17"/>
          <w:i w:val="1"/>
          <w:iCs w:val="1"/>
          <w:color w:val="auto"/>
        </w:rPr>
        <w:t xml:space="preserve"> </w:t>
      </w:r>
      <w:r>
        <w:rPr>
          <w:rFonts w:ascii="Arial" w:cs="Arial" w:eastAsia="Arial" w:hAnsi="Arial"/>
          <w:sz w:val="17"/>
          <w:szCs w:val="17"/>
          <w:color w:val="auto"/>
        </w:rPr>
        <w:t>Deep Vision and BIWIN, private companies related to the semiconductor and other technology industries. These investments are accounted for under the cost method because our ownership is less than 20% and we do not have the ability to exercise significant influence over the operations of these companies. As of December 31, 2021, the aggregate carrying value of investments on our balance sheet was US$8.5 million. We monitor these investments for impairment and make appropriate reductions in carrying value when an impairment is deemed to be other than temporary. There were no impairments losses for the years ended on December 31, 2019, 2020 and 2021.</w:t>
      </w:r>
    </w:p>
    <w:p>
      <w:pPr>
        <w:spacing w:after="0" w:line="32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12.</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Depositary Fees and Charges. </w:t>
      </w:r>
      <w:r>
        <w:rPr>
          <w:rFonts w:ascii="Arial" w:cs="Arial" w:eastAsia="Arial" w:hAnsi="Arial"/>
          <w:sz w:val="18"/>
          <w:szCs w:val="18"/>
          <w:color w:val="auto"/>
        </w:rPr>
        <w:t>For the year-ended December 31, 2021, we received from our depositary bank a reimbursement of US$0.7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net of withholding tax, for our continuing annual stock exchange listing fees and our other expenses incurred in connection with maintaining and promoting our ADS program. In addition, the depositary bank has agreed to reimburse us annually for a fixed number of years for our continuing annual stock exchange listing fees and our other expenses incurred in connection with maintaining and promoting our ADS program. The amount of annual reimbursements is subject to certain limits.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86"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13.</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EFAULTS</w:t>
      </w:r>
      <w:r>
        <w:rPr>
          <w:rFonts w:ascii="Arial" w:cs="Arial" w:eastAsia="Arial" w:hAnsi="Arial"/>
          <w:sz w:val="18"/>
          <w:szCs w:val="18"/>
          <w:b w:val="1"/>
          <w:bCs w:val="1"/>
          <w:color w:val="auto"/>
        </w:rPr>
        <w:t>, D</w:t>
      </w:r>
      <w:r>
        <w:rPr>
          <w:rFonts w:ascii="Arial" w:cs="Arial" w:eastAsia="Arial" w:hAnsi="Arial"/>
          <w:sz w:val="14"/>
          <w:szCs w:val="14"/>
          <w:b w:val="1"/>
          <w:bCs w:val="1"/>
          <w:color w:val="auto"/>
        </w:rPr>
        <w:t>IVIDEND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RREARAGES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14.</w:t>
      </w:r>
      <w:r>
        <w:rPr>
          <w:sz w:val="20"/>
          <w:szCs w:val="20"/>
          <w:color w:val="auto"/>
        </w:rPr>
        <w:tab/>
      </w:r>
      <w:r>
        <w:rPr>
          <w:rFonts w:ascii="Arial" w:cs="Arial" w:eastAsia="Arial" w:hAnsi="Arial"/>
          <w:sz w:val="18"/>
          <w:szCs w:val="18"/>
          <w:b w:val="1"/>
          <w:bCs w:val="1"/>
          <w:color w:val="auto"/>
        </w:rPr>
        <w:t>M</w:t>
      </w:r>
      <w:r>
        <w:rPr>
          <w:rFonts w:ascii="Arial" w:cs="Arial" w:eastAsia="Arial" w:hAnsi="Arial"/>
          <w:sz w:val="14"/>
          <w:szCs w:val="14"/>
          <w:b w:val="1"/>
          <w:bCs w:val="1"/>
          <w:color w:val="auto"/>
        </w:rPr>
        <w:t>ATERIAL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ODIFICATIONS TO THE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OLDERS AND</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15.</w:t>
      </w:r>
      <w:r>
        <w:rPr>
          <w:sz w:val="20"/>
          <w:szCs w:val="20"/>
          <w:color w:val="auto"/>
        </w:rPr>
        <w:tab/>
      </w:r>
      <w:r>
        <w:rPr>
          <w:rFonts w:ascii="Arial" w:cs="Arial" w:eastAsia="Arial" w:hAnsi="Arial"/>
          <w:sz w:val="18"/>
          <w:szCs w:val="18"/>
          <w:b w:val="1"/>
          <w:bCs w:val="1"/>
          <w:color w:val="auto"/>
        </w:rPr>
        <w:t>C</w:t>
      </w:r>
      <w:r>
        <w:rPr>
          <w:rFonts w:ascii="Arial" w:cs="Arial" w:eastAsia="Arial" w:hAnsi="Arial"/>
          <w:sz w:val="14"/>
          <w:szCs w:val="14"/>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performed an evaluation of the effectiveness of the design and operation of our disclosure controls and procedures as of December 31, 2021. Disclosure controls and procedures are designed to ensure that the material financial and non-financial information required to be disclosed in this annual report on Form 20-F and filed with the SEC is recorded, processed, summarized and reported within the time periods specified in the SEC’s rules and forms. The evaluation was performed with the participation of our key corporate senior management, and under the supervision of our Chief Financial Officer, or CFO, Riyadh Lai, and our President and Chief Executive Officer, or CEO, Wallace Kou. In designing and evaluating the disclosure controls and procedures, management recognized that any controls and procedures, no matter how well designed and operated, can provide only reasonable, rather than absolute, assurances of achieving the desired control objectives, and management necessarily was required to apply its judgment in evaluating the cost-benefit relationship of possible controls and procedures. Based on the foregoing, our management, including our CEO and CFO, concluded that our disclosure controls and procedures were effective.</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Our management, including our CEO and CFO, is responsible for establishing and maintaining adequate internal control over financial reporting, as defined under Exchange Act Rules 13a-15(f) and 15d-15(f). Our internal control over financial reporting is a process designed to provide reasonable assurance regarding the reliability of financial reporting and the preparation of consolidated financial statements for external purposes in accordance with accounting principles generally accepted in the United States. Internal control over financial reporting includes those policies and procedures that:</w:t>
      </w:r>
    </w:p>
    <w:p>
      <w:pPr>
        <w:spacing w:after="0" w:line="1" w:lineRule="exact"/>
        <w:rPr>
          <w:sz w:val="20"/>
          <w:szCs w:val="20"/>
          <w:color w:val="auto"/>
        </w:rPr>
      </w:pPr>
    </w:p>
    <w:p>
      <w:pPr>
        <w:ind w:left="380" w:hanging="264"/>
        <w:spacing w:after="0"/>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ind w:left="120" w:hanging="4"/>
        <w:spacing w:after="0" w:line="253" w:lineRule="auto"/>
        <w:tabs>
          <w:tab w:leader="none" w:pos="3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the consolidated financial statements.</w:t>
      </w:r>
    </w:p>
    <w:p>
      <w:pPr>
        <w:spacing w:after="0" w:line="193"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management assessed the effectiveness of our internal control over financial reporting as of the end of the period covered by this annual report based on the criteria set forth in the Internal Control-Integrated Framework (2013) issued by the Committee of Sponsoring Organizations of the Treadway Commission (“COSO”). Their assessment included an evaluation of the design of our internal control over financial reporting and testing of the operational effectiveness of our internal control over financial reporting. Based on that assessment, our management concluded that as of December 31, 2021 the company’s internal control over financial reporting was effective.</w:t>
      </w:r>
    </w:p>
    <w:p>
      <w:pPr>
        <w:spacing w:after="0" w:line="1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Deloitte &amp; Touche, the independent registered public accounting firm that audited our consolidated financial statements included in this annual report has issued an attestation report regarding internal control over financial reporting.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During 2021, no change to our internal control over financial reporting occurred that has materially affected, or is reasonably likely to materially affect, our internal control over financial reporting.</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All internal control systems no matter how well designed and implemented have inherent limitations. Even systems determined to be effective may not prevent or detect misstatements or fraud and can only provide reasonable assurance with respect to disclosure and financial statement presentation and reporting. Additionally, projections of any evaluation of effectiveness to future periods are subject to the risk that controls may become inadequate because of changed conditions and the degree of compliance with the policies or procedures may deteriorate.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Attestation Report Of The Independent Registered Public Accounting Firm</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Silicon Motion Technology Corporation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We have audited the internal control over financial reporting of Silicon Motion Technology Corporation and subsidiaries (the “Company”)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April 25, 2022, expressed an unqualified opinion on those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8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Taipei, Taiwan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Republic of China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25, 2022</w:t>
      </w:r>
    </w:p>
    <w:p>
      <w:pPr>
        <w:spacing w:after="0" w:line="35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16A.</w:t>
      </w:r>
      <w:r>
        <w:rPr>
          <w:sz w:val="20"/>
          <w:szCs w:val="20"/>
          <w:color w:val="auto"/>
        </w:rPr>
        <w:tab/>
      </w:r>
      <w:r>
        <w:rPr>
          <w:rFonts w:ascii="Arial" w:cs="Arial" w:eastAsia="Arial" w:hAnsi="Arial"/>
          <w:sz w:val="18"/>
          <w:szCs w:val="18"/>
          <w:b w:val="1"/>
          <w:bCs w:val="1"/>
          <w:color w:val="auto"/>
        </w:rPr>
        <w:t>A</w:t>
      </w:r>
      <w:r>
        <w:rPr>
          <w:rFonts w:ascii="Arial" w:cs="Arial" w:eastAsia="Arial" w:hAnsi="Arial"/>
          <w:sz w:val="14"/>
          <w:szCs w:val="14"/>
          <w:b w:val="1"/>
          <w:bCs w:val="1"/>
          <w:color w:val="auto"/>
        </w:rPr>
        <w:t>UDIT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XPERT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board of directors has determined that Mr. Tsung-Ming Chung, the Chairman of our audit committee and an independent director, is an “audit committee financial expert” under Nasdaq and SEC rules.</w:t>
      </w:r>
    </w:p>
    <w:p>
      <w:pPr>
        <w:spacing w:after="0" w:line="31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16B.</w:t>
      </w:r>
      <w:r>
        <w:rPr>
          <w:sz w:val="20"/>
          <w:szCs w:val="20"/>
          <w:color w:val="auto"/>
        </w:rPr>
        <w:tab/>
      </w: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THICS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Our board of directors has adopted a code of business conduct and ethics applicable to every employee of our company, including our CEO and our CFO, consistent with the requirements of the Nasdaq Stock Market. A copy of our code of ethics has been filed with the SEC as Exhibit 11.1 to our annual report on Form 20-F filed on June 30, 2006 and has not been amended. For further information, see our Code of Ethics posted on our website </w:t>
      </w:r>
      <w:r>
        <w:rPr>
          <w:rFonts w:ascii="Arial" w:cs="Arial" w:eastAsia="Arial" w:hAnsi="Arial"/>
          <w:sz w:val="18"/>
          <w:szCs w:val="18"/>
          <w:i w:val="1"/>
          <w:iCs w:val="1"/>
          <w:color w:val="auto"/>
        </w:rPr>
        <w:t>(www.siliconmotion.com)</w:t>
      </w:r>
      <w:r>
        <w:rPr>
          <w:rFonts w:ascii="Arial" w:cs="Arial" w:eastAsia="Arial" w:hAnsi="Arial"/>
          <w:sz w:val="18"/>
          <w:szCs w:val="18"/>
          <w:color w:val="auto"/>
        </w:rPr>
        <w:t>.</w:t>
      </w:r>
    </w:p>
    <w:p>
      <w:pPr>
        <w:spacing w:after="0" w:line="33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16C.</w:t>
      </w:r>
      <w:r>
        <w:rPr>
          <w:sz w:val="20"/>
          <w:szCs w:val="20"/>
          <w:color w:val="auto"/>
        </w:rPr>
        <w:tab/>
      </w: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Deloitte &amp; Touche has acted as the independent registered public accountants of our company and its subsidiaries for 2020 and 2021. The following table sets forth the aggregate fees by categories specified below in connection with certain professional services rendered by Deloitte &amp; Touche for the periods indicated.</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19"/>
        </w:trPr>
        <w:tc>
          <w:tcPr>
            <w:tcW w:w="6940" w:type="dxa"/>
            <w:vAlign w:val="bottom"/>
          </w:tcPr>
          <w:p>
            <w:pPr>
              <w:spacing w:after="0"/>
              <w:rPr>
                <w:sz w:val="10"/>
                <w:szCs w:val="10"/>
                <w:color w:val="auto"/>
              </w:rPr>
            </w:pPr>
          </w:p>
        </w:tc>
        <w:tc>
          <w:tcPr>
            <w:tcW w:w="52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US$</w:t>
            </w:r>
          </w:p>
        </w:tc>
        <w:tc>
          <w:tcPr>
            <w:tcW w:w="300" w:type="dxa"/>
            <w:vAlign w:val="bottom"/>
          </w:tcPr>
          <w:p>
            <w:pPr>
              <w:spacing w:after="0"/>
              <w:rPr>
                <w:sz w:val="10"/>
                <w:szCs w:val="10"/>
                <w:color w:val="auto"/>
              </w:rPr>
            </w:pPr>
          </w:p>
        </w:tc>
        <w:tc>
          <w:tcPr>
            <w:tcW w:w="54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0"/>
                <w:szCs w:val="10"/>
                <w:color w:val="auto"/>
              </w:rPr>
            </w:pPr>
          </w:p>
        </w:tc>
      </w:tr>
      <w:tr>
        <w:trPr>
          <w:trHeight w:val="171"/>
        </w:trPr>
        <w:tc>
          <w:tcPr>
            <w:tcW w:w="6940" w:type="dxa"/>
            <w:vAlign w:val="bottom"/>
          </w:tcPr>
          <w:p>
            <w:pPr>
              <w:spacing w:after="0"/>
              <w:rPr>
                <w:sz w:val="14"/>
                <w:szCs w:val="14"/>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887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881</w:t>
            </w:r>
          </w:p>
        </w:tc>
      </w:tr>
      <w:tr>
        <w:trPr>
          <w:trHeight w:val="216"/>
        </w:trPr>
        <w:tc>
          <w:tcPr>
            <w:tcW w:w="6940" w:type="dxa"/>
            <w:vAlign w:val="bottom"/>
          </w:tcPr>
          <w:p>
            <w:pPr>
              <w:spacing w:after="0" w:line="21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190</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198</w:t>
            </w:r>
          </w:p>
        </w:tc>
      </w:tr>
      <w:tr>
        <w:trPr>
          <w:trHeight w:val="216"/>
        </w:trPr>
        <w:tc>
          <w:tcPr>
            <w:tcW w:w="6940" w:type="dxa"/>
            <w:vAlign w:val="bottom"/>
          </w:tcPr>
          <w:p>
            <w:pPr>
              <w:spacing w:after="0" w:line="21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(4)</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1,077</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1,079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6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This category includes the audit and review of our annual financial statements and services that are normally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auditors in connection with regulatory filings or engagements,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8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color w:val="auto"/>
        </w:rPr>
        <w:t>advice provided on audit and accounting matters that arise during, or as a result of, the audits or the reviews of interim financial statements, audit procedures related to reviews of offering documents, registration statements and issuance of comfort letters.</w:t>
      </w:r>
    </w:p>
    <w:p>
      <w:pPr>
        <w:spacing w:after="0" w:line="1" w:lineRule="exact"/>
        <w:rPr>
          <w:sz w:val="20"/>
          <w:szCs w:val="20"/>
          <w:color w:val="auto"/>
        </w:rPr>
      </w:pPr>
    </w:p>
    <w:p>
      <w:pPr>
        <w:jc w:val="both"/>
        <w:ind w:left="540" w:right="16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This category consists of assurance and related services by Deloitte &amp; Touche that are reasonably related to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audit or review of our financial statements and are not reported above under “Audit Fees.” Deloitte &amp; Touche did not provide any services under this category in 2020 or 2021.</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This category consists of professional services rendered by Deloitte &amp; Touche for tax compliance and tax advice. The services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fees disclosed in this category include tax return preparation and technical tax advice.</w:t>
      </w: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Deloitte &amp; Touche did not provide any services under this category in 2020 or 2021.</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audit committee is responsible for the retention of our independent registered public accounting firm, which currently is Deloitte &amp; Touche. Our audit committee has adopted its own rules of procedure, in the form of an audit committee charter. The audit committee’s rules of procedure provide for a process with respect to the prior approval of all non-audit services to be performed by our independent auditors. Our audit committee reports to our board of directors regarding the scope and results of our annual audits, compliance with our accounting and financial policies and management’s procedures and policies related to the adequacy of our internal accounting controls.</w:t>
      </w:r>
    </w:p>
    <w:p>
      <w:pPr>
        <w:spacing w:after="0" w:line="18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 2021 our audit committee approved all of the audit services provided by Deloitte &amp; Touche and the other services provided by Deloitte &amp; Touche.</w:t>
      </w:r>
    </w:p>
    <w:p>
      <w:pPr>
        <w:spacing w:after="0" w:line="31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16D.</w:t>
      </w:r>
      <w:r>
        <w:rPr>
          <w:sz w:val="20"/>
          <w:szCs w:val="20"/>
          <w:color w:val="auto"/>
        </w:rPr>
        <w:tab/>
      </w:r>
      <w:r>
        <w:rPr>
          <w:rFonts w:ascii="Arial" w:cs="Arial" w:eastAsia="Arial" w:hAnsi="Arial"/>
          <w:sz w:val="18"/>
          <w:szCs w:val="18"/>
          <w:b w:val="1"/>
          <w:bCs w:val="1"/>
          <w:color w:val="auto"/>
        </w:rPr>
        <w:t>E</w:t>
      </w:r>
      <w:r>
        <w:rPr>
          <w:rFonts w:ascii="Arial" w:cs="Arial" w:eastAsia="Arial" w:hAnsi="Arial"/>
          <w:sz w:val="14"/>
          <w:szCs w:val="14"/>
          <w:b w:val="1"/>
          <w:bCs w:val="1"/>
          <w:color w:val="auto"/>
        </w:rPr>
        <w:t>XEMPTIONS FROM 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ISTING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TANDARDS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UDIT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16E.</w:t>
      </w:r>
      <w:r>
        <w:rPr>
          <w:sz w:val="20"/>
          <w:szCs w:val="20"/>
          <w:color w:val="auto"/>
        </w:rPr>
        <w:tab/>
      </w:r>
      <w:r>
        <w:rPr>
          <w:rFonts w:ascii="Arial" w:cs="Arial" w:eastAsia="Arial" w:hAnsi="Arial"/>
          <w:sz w:val="18"/>
          <w:szCs w:val="18"/>
          <w:b w:val="1"/>
          <w:bCs w:val="1"/>
          <w:color w:val="auto"/>
        </w:rPr>
        <w:t>P</w:t>
      </w:r>
      <w:r>
        <w:rPr>
          <w:rFonts w:ascii="Arial" w:cs="Arial" w:eastAsia="Arial" w:hAnsi="Arial"/>
          <w:sz w:val="14"/>
          <w:szCs w:val="14"/>
          <w:b w:val="1"/>
          <w:bCs w:val="1"/>
          <w:color w:val="auto"/>
        </w:rPr>
        <w:t>URCHASES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 BY THE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SSUER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URCHASERS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purchases of our ADS’s were made in 2021 under a plan announced in 2021. Such program was announced December 7, 2021 and has a six month period.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Total Number</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420" w:type="dxa"/>
            <w:vAlign w:val="bottom"/>
          </w:tcPr>
          <w:p>
            <w:pPr>
              <w:spacing w:after="0"/>
              <w:rPr>
                <w:sz w:val="14"/>
                <w:szCs w:val="14"/>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Amount of ADS</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Dollar Value of ADS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of ADS</w:t>
            </w:r>
          </w:p>
        </w:tc>
        <w:tc>
          <w:tcPr>
            <w:tcW w:w="12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2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Purchased as Part of</w:t>
            </w:r>
          </w:p>
        </w:tc>
        <w:tc>
          <w:tcPr>
            <w:tcW w:w="1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That Yet May be</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580" w:type="dxa"/>
            <w:vAlign w:val="bottom"/>
            <w:vMerge w:val="restart"/>
          </w:tcPr>
          <w:p>
            <w:pPr>
              <w:spacing w:after="0"/>
              <w:rPr>
                <w:sz w:val="12"/>
                <w:szCs w:val="12"/>
                <w:color w:val="auto"/>
              </w:rPr>
            </w:pP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Paid Per ADS</w:t>
            </w:r>
          </w:p>
        </w:tc>
        <w:tc>
          <w:tcPr>
            <w:tcW w:w="420" w:type="dxa"/>
            <w:vAlign w:val="bottom"/>
          </w:tcPr>
          <w:p>
            <w:pPr>
              <w:spacing w:after="0"/>
              <w:rPr>
                <w:sz w:val="12"/>
                <w:szCs w:val="12"/>
                <w:color w:val="auto"/>
              </w:rPr>
            </w:pPr>
          </w:p>
        </w:tc>
        <w:tc>
          <w:tcPr>
            <w:tcW w:w="2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Publicly Announced</w:t>
            </w:r>
          </w:p>
        </w:tc>
        <w:tc>
          <w:tcPr>
            <w:tcW w:w="14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Purchased Under Plan</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170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89"/>
              </w:rPr>
              <w:t>(thousands)</w:t>
            </w:r>
          </w:p>
        </w:tc>
        <w:tc>
          <w:tcPr>
            <w:tcW w:w="140" w:type="dxa"/>
            <w:vAlign w:val="bottom"/>
          </w:tcPr>
          <w:p>
            <w:pPr>
              <w:spacing w:after="0"/>
              <w:rPr>
                <w:sz w:val="15"/>
                <w:szCs w:val="15"/>
                <w:color w:val="auto"/>
              </w:rPr>
            </w:pPr>
          </w:p>
        </w:tc>
        <w:tc>
          <w:tcPr>
            <w:tcW w:w="11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(In US$)</w:t>
            </w:r>
          </w:p>
        </w:tc>
        <w:tc>
          <w:tcPr>
            <w:tcW w:w="420" w:type="dxa"/>
            <w:vAlign w:val="bottom"/>
          </w:tcPr>
          <w:p>
            <w:pPr>
              <w:spacing w:after="0"/>
              <w:rPr>
                <w:sz w:val="15"/>
                <w:szCs w:val="15"/>
                <w:color w:val="auto"/>
              </w:rPr>
            </w:pPr>
          </w:p>
        </w:tc>
        <w:tc>
          <w:tcPr>
            <w:tcW w:w="21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xml:space="preserve">Plan (In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million)</w:t>
            </w:r>
          </w:p>
        </w:tc>
        <w:tc>
          <w:tcPr>
            <w:tcW w:w="140" w:type="dxa"/>
            <w:vAlign w:val="bottom"/>
          </w:tcPr>
          <w:p>
            <w:pPr>
              <w:spacing w:after="0"/>
              <w:rPr>
                <w:sz w:val="15"/>
                <w:szCs w:val="15"/>
                <w:color w:val="auto"/>
              </w:rPr>
            </w:pPr>
          </w:p>
        </w:tc>
        <w:tc>
          <w:tcPr>
            <w:tcW w:w="13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8"/>
              </w:rPr>
              <w:t>(In US$ million)</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2021</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556</w:t>
            </w:r>
          </w:p>
        </w:tc>
        <w:tc>
          <w:tcPr>
            <w:tcW w:w="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89.87</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16F.</w:t>
      </w:r>
      <w:r>
        <w:rPr>
          <w:sz w:val="20"/>
          <w:szCs w:val="20"/>
          <w:color w:val="auto"/>
        </w:rPr>
        <w:tab/>
      </w:r>
      <w:r>
        <w:rPr>
          <w:rFonts w:ascii="Arial" w:cs="Arial" w:eastAsia="Arial" w:hAnsi="Arial"/>
          <w:sz w:val="18"/>
          <w:szCs w:val="18"/>
          <w:b w:val="1"/>
          <w:bCs w:val="1"/>
          <w:color w:val="auto"/>
        </w:rPr>
        <w:t>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EGISTRANT</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ERTIFYING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16G.</w:t>
      </w:r>
      <w:r>
        <w:rPr>
          <w:sz w:val="20"/>
          <w:szCs w:val="20"/>
          <w:color w:val="auto"/>
        </w:rPr>
        <w:tab/>
      </w: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are incorporated in the Cayman Islands and our corporate governance practices are governed by applicable Cayman Islands law. In addition, because our ADSs are listed on the Nasdaq Global Select Market, we are subject to Nasdaq corporate governance requirements. Nasdaq Listing Rule 5615(a)(3) permits foreign private issuers like us to follow “home country practice” with respect to certain corporate governance matters, such as, for example, our establishment in 2015 of our 2015 Incentive Plan. We are committed to a high standard of corporate governance. As such, we endeavor to comply with the Nasdaq corporate governance practices and believe that we are currently in compliance with Nasdaq corporate governance practices that are applicable to foreign private issuers.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86"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16H.</w:t>
      </w:r>
      <w:r>
        <w:rPr>
          <w:sz w:val="20"/>
          <w:szCs w:val="20"/>
          <w:color w:val="auto"/>
        </w:rPr>
        <w:tab/>
      </w:r>
      <w:r>
        <w:rPr>
          <w:rFonts w:ascii="Arial" w:cs="Arial" w:eastAsia="Arial" w:hAnsi="Arial"/>
          <w:sz w:val="18"/>
          <w:szCs w:val="18"/>
          <w:b w:val="1"/>
          <w:bCs w:val="1"/>
          <w:color w:val="auto"/>
        </w:rPr>
        <w:t>M</w:t>
      </w:r>
      <w:r>
        <w:rPr>
          <w:rFonts w:ascii="Arial" w:cs="Arial" w:eastAsia="Arial" w:hAnsi="Arial"/>
          <w:sz w:val="14"/>
          <w:szCs w:val="14"/>
          <w:b w:val="1"/>
          <w:bCs w:val="1"/>
          <w:color w:val="auto"/>
        </w:rPr>
        <w:t>INE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AFETY</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ISCLOSURE</w:t>
      </w:r>
      <w:r>
        <w:rPr>
          <w:rFonts w:ascii="Arial" w:cs="Arial" w:eastAsia="Arial" w:hAnsi="Arial"/>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16I.</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ISCLOSURE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URISDICTIONS THAT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REVENT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NSPECTIONS</w:t>
      </w:r>
      <w:r>
        <w:rPr>
          <w:rFonts w:ascii="Arial" w:cs="Arial" w:eastAsia="Arial" w:hAnsi="Arial"/>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139"/>
          </w:cols>
          <w:pgMar w:left="320" w:top="486"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17.</w:t>
      </w:r>
      <w:r>
        <w:rPr>
          <w:sz w:val="20"/>
          <w:szCs w:val="20"/>
          <w:color w:val="auto"/>
        </w:rPr>
        <w:tab/>
      </w:r>
      <w:r>
        <w:rPr>
          <w:rFonts w:ascii="Arial" w:cs="Arial" w:eastAsia="Arial" w:hAnsi="Arial"/>
          <w:sz w:val="18"/>
          <w:szCs w:val="18"/>
          <w:b w:val="1"/>
          <w:bCs w:val="1"/>
          <w:color w:val="auto"/>
        </w:rPr>
        <w:t>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18.</w:t>
      </w:r>
      <w:r>
        <w:rPr>
          <w:sz w:val="20"/>
          <w:szCs w:val="20"/>
          <w:color w:val="auto"/>
        </w:rPr>
        <w:tab/>
      </w:r>
      <w:r>
        <w:rPr>
          <w:rFonts w:ascii="Arial" w:cs="Arial" w:eastAsia="Arial" w:hAnsi="Arial"/>
          <w:sz w:val="18"/>
          <w:szCs w:val="18"/>
          <w:b w:val="1"/>
          <w:bCs w:val="1"/>
          <w:color w:val="auto"/>
        </w:rPr>
        <w:t>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consolidated financial statements are included in this annual report at pages F-1 through F-30.</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TEM</w:t>
            </w:r>
            <w:r>
              <w:rPr>
                <w:rFonts w:ascii="Arial" w:cs="Arial" w:eastAsia="Arial" w:hAnsi="Arial"/>
                <w:sz w:val="18"/>
                <w:szCs w:val="18"/>
                <w:b w:val="1"/>
                <w:bCs w:val="1"/>
                <w:color w:val="auto"/>
              </w:rPr>
              <w:t xml:space="preserve"> 19.</w:t>
            </w:r>
          </w:p>
        </w:tc>
        <w:tc>
          <w:tcPr>
            <w:tcW w:w="9980" w:type="dxa"/>
            <w:vAlign w:val="bottom"/>
            <w:gridSpan w:val="22"/>
          </w:tcPr>
          <w:p>
            <w:pPr>
              <w:ind w:left="2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XHIBITS</w:t>
            </w:r>
          </w:p>
        </w:tc>
        <w:tc>
          <w:tcPr>
            <w:tcW w:w="0" w:type="dxa"/>
            <w:vAlign w:val="bottom"/>
          </w:tcPr>
          <w:p>
            <w:pPr>
              <w:spacing w:after="0"/>
              <w:rPr>
                <w:sz w:val="1"/>
                <w:szCs w:val="1"/>
                <w:color w:val="auto"/>
              </w:rPr>
            </w:pPr>
          </w:p>
        </w:tc>
      </w:tr>
      <w:tr>
        <w:trPr>
          <w:trHeight w:val="369"/>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40" w:type="dxa"/>
            <w:vAlign w:val="bottom"/>
            <w:gridSpan w:val="15"/>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54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700" w:type="dxa"/>
            <w:vAlign w:val="bottom"/>
            <w:tcBorders>
              <w:top w:val="single" w:sz="8" w:color="auto"/>
            </w:tcBorders>
            <w:gridSpan w:val="21"/>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Memorandum of Association of the Registrant (incorporated by reference to Exhibit 3.1 to the company’s Registration Statement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Form F-1 (file no. 333-125673) filed with the Securities and Exchange Commission on June 9, 2005).</w:t>
              </w:r>
            </w:hyperlink>
          </w:p>
        </w:tc>
        <w:tc>
          <w:tcPr>
            <w:tcW w:w="2180" w:type="dxa"/>
            <w:vAlign w:val="bottom"/>
            <w:tcBorders>
              <w:top w:val="single" w:sz="8" w:color="0000EE"/>
            </w:tcBorders>
            <w:gridSpan w:val="7"/>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w w:val="93"/>
              </w:rPr>
            </w:pPr>
            <w:hyperlink r:id="rId86">
              <w:r>
                <w:rPr>
                  <w:rFonts w:ascii="Arial" w:cs="Arial" w:eastAsia="Arial" w:hAnsi="Arial"/>
                  <w:sz w:val="18"/>
                  <w:szCs w:val="18"/>
                  <w:color w:val="0000EE"/>
                  <w:w w:val="93"/>
                </w:rPr>
                <w:t>Articles of Association of the Registrant (incorporated by reference to Exhibit 3.2 to the company’s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F-1 (file no. 333-125673) filed with the Securities and Exchange Commission on June 9, 2005).</w:t>
              </w:r>
            </w:hyperlink>
          </w:p>
        </w:tc>
        <w:tc>
          <w:tcPr>
            <w:tcW w:w="2600" w:type="dxa"/>
            <w:vAlign w:val="bottom"/>
            <w:tcBorders>
              <w:top w:val="single" w:sz="8" w:color="0000EE"/>
            </w:tcBorders>
            <w:gridSpan w:val="7"/>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60" w:type="dxa"/>
            <w:vAlign w:val="bottom"/>
            <w:tcBorders>
              <w:bottom w:val="single" w:sz="8" w:color="0000EE"/>
            </w:tcBorders>
            <w:gridSpan w:val="13"/>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Specimen of American Depositary Receipt (incorporated by reference to Exhibit 4.1 to the company’s Registration Statement on</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Form F-1 (file no. 333-125673) filed with the Securities and Exchange Commission on June 9, 2005).</w:t>
              </w:r>
            </w:hyperlink>
          </w:p>
        </w:tc>
        <w:tc>
          <w:tcPr>
            <w:tcW w:w="2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Form of Amended and Restated Deposit Agreement (incorporated by reference to Exhibit 1 to the company’s Registration Statement</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on Form F-6 (file no. 333-125801) filed with the Securities and Exchange Commission on December 5, 2013).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Silicon Motion Technology Corporation 2015 Incentive Plan (incorporated by reference to Exhibit 4.1 of the Company’s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statement on Form S-8 filed June 11, 2015).</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w w:val="94"/>
              </w:rPr>
            </w:pPr>
            <w:hyperlink r:id="rId90">
              <w:r>
                <w:rPr>
                  <w:rFonts w:ascii="Arial" w:cs="Arial" w:eastAsia="Arial" w:hAnsi="Arial"/>
                  <w:sz w:val="18"/>
                  <w:szCs w:val="18"/>
                  <w:color w:val="0000EE"/>
                  <w:w w:val="94"/>
                </w:rPr>
                <w:t>Share Purchase Agreement dated as of April 24, 2015 among Silicon Motion Technology Corporation, Silicon Motion Technology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00" w:type="dxa"/>
            <w:vAlign w:val="bottom"/>
            <w:gridSpan w:val="21"/>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(Hong Kong) Ltd., F-Tec Holdings International Ltd., the shareholders of F-Tec Holdings International Ltd. and Xueshi Yang, as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2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Sellers’ Representative (incorporated by reference to Exhibit 4.13 to the Company’s Annual Report on Form 20-F filed with the</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Securities and Exchange Commission on April 30, 2015).</w:t>
              </w:r>
            </w:hyperlink>
          </w:p>
        </w:tc>
        <w:tc>
          <w:tcPr>
            <w:tcW w:w="5040" w:type="dxa"/>
            <w:vAlign w:val="bottom"/>
            <w:tcBorders>
              <w:top w:val="single" w:sz="8" w:color="0000EE"/>
            </w:tcBorders>
            <w:gridSpan w:val="6"/>
          </w:tcPr>
          <w:p>
            <w:pPr>
              <w:spacing w:after="0"/>
              <w:rPr>
                <w:sz w:val="17"/>
                <w:szCs w:val="17"/>
                <w:color w:val="auto"/>
              </w:rPr>
            </w:pPr>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List of Subsidiaries.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Code of Ethics (incorporated by reference to Exhibit 11.1 to the company’s Annual Report on Form 20-F filed with the Securities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Exchange Commission on June 30, 2006).</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Certification of Chief Executive Officer Required by Rule 13a-14(a).</w:t>
              </w:r>
            </w:hyperlink>
          </w:p>
        </w:tc>
        <w:tc>
          <w:tcPr>
            <w:tcW w:w="4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0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Certification of Chief Financial Officer Required by Rule 13a-14(a).</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4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Certification of Chief Executive Officer and Chief Financial Officer required by Rule 13a-14(b) and Section 1350 of Chapter 63 of</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Title 18 of the United States Code.</w:t>
              </w:r>
            </w:hyperlink>
          </w:p>
        </w:tc>
        <w:tc>
          <w:tcPr>
            <w:tcW w:w="72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Consent of Deloitte &amp; Touche.</w:t>
              </w:r>
            </w:hyperlink>
          </w:p>
        </w:tc>
        <w:tc>
          <w:tcPr>
            <w:tcW w:w="74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9700" w:type="dxa"/>
            <w:vAlign w:val="bottom"/>
            <w:gridSpan w:val="21"/>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00" w:type="dxa"/>
            <w:vAlign w:val="bottom"/>
            <w:gridSpan w:val="21"/>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970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970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0" w:type="dxa"/>
            <w:vAlign w:val="bottom"/>
            <w:gridSpan w:val="8"/>
          </w:tcPr>
          <w:p>
            <w:pPr>
              <w:jc w:val="right"/>
              <w:ind w:right="568"/>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0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9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3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6"/>
              </w:rPr>
              <w:t>Cover Page Interactive Data File — the cover page XBRL tags are embedded within the Exhibit 101 Inline XBRL document set</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320" w:type="dxa"/>
            <w:vAlign w:val="bottom"/>
            <w:gridSpan w:val="3"/>
          </w:tcPr>
          <w:p>
            <w:pPr>
              <w:spacing w:after="0"/>
              <w:rPr>
                <w:sz w:val="20"/>
                <w:szCs w:val="20"/>
                <w:color w:val="auto"/>
              </w:rPr>
            </w:pPr>
            <w:r>
              <w:rPr>
                <w:rFonts w:ascii="Arial" w:cs="Arial" w:eastAsia="Arial" w:hAnsi="Arial"/>
                <w:sz w:val="18"/>
                <w:szCs w:val="18"/>
                <w:color w:val="auto"/>
                <w:w w:val="96"/>
              </w:rPr>
              <w:t>*  Filed herewith.</w:t>
            </w:r>
          </w:p>
        </w:tc>
        <w:tc>
          <w:tcPr>
            <w:tcW w:w="9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00" w:type="dxa"/>
            <w:vAlign w:val="bottom"/>
          </w:tcPr>
          <w:p>
            <w:pPr>
              <w:ind w:left="4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registrant hereby certifies that it meets all the requirements for filing on Form 20-F and that it has duly caused and authorized the undersigned to sign this annual report on its behalf.</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ILICON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Wallace C. 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Wallace C. Kou,</w:t>
      </w:r>
    </w:p>
    <w:p>
      <w:pPr>
        <w:spacing w:after="0" w:line="9"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April 25, 2022</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6" w:right="4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974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38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rPr>
              <w:t>SILICON MOTION TECHNOLOGY CORPORATION AND SUBSIDIARIES</w:t>
            </w:r>
          </w:p>
        </w:tc>
        <w:tc>
          <w:tcPr>
            <w:tcW w:w="13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80" w:type="dxa"/>
            <w:vAlign w:val="bottom"/>
            <w:gridSpan w:val="7"/>
          </w:tcPr>
          <w:p>
            <w:pPr>
              <w:jc w:val="center"/>
              <w:ind w:right="1760"/>
              <w:spacing w:after="0"/>
              <w:rPr>
                <w:sz w:val="20"/>
                <w:szCs w:val="20"/>
                <w:color w:val="auto"/>
              </w:rPr>
            </w:pPr>
            <w:r>
              <w:rPr>
                <w:rFonts w:ascii="Arial" w:cs="Arial" w:eastAsia="Arial" w:hAnsi="Arial"/>
                <w:sz w:val="18"/>
                <w:szCs w:val="18"/>
                <w:b w:val="1"/>
                <w:bCs w:val="1"/>
                <w:color w:val="auto"/>
              </w:rPr>
              <w:t>INDEX TO CONSOLIDATED FINANCIAL STATEMENTS</w:t>
            </w:r>
          </w:p>
        </w:tc>
        <w:tc>
          <w:tcPr>
            <w:tcW w:w="1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62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1060)</w:t>
            </w:r>
          </w:p>
        </w:tc>
        <w:tc>
          <w:tcPr>
            <w:tcW w:w="1340" w:type="dxa"/>
            <w:vAlign w:val="bottom"/>
          </w:tcPr>
          <w:p>
            <w:pPr>
              <w:ind w:left="1080"/>
              <w:spacing w:after="0"/>
              <w:rPr>
                <w:sz w:val="20"/>
                <w:szCs w:val="20"/>
                <w:color w:val="auto"/>
              </w:rPr>
            </w:pPr>
            <w:r>
              <w:rPr>
                <w:rFonts w:ascii="Arial" w:cs="Arial" w:eastAsia="Arial" w:hAnsi="Arial"/>
                <w:sz w:val="18"/>
                <w:szCs w:val="18"/>
                <w:color w:val="auto"/>
                <w:w w:val="88"/>
              </w:rPr>
              <w:t>F-2</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Balance Sheets as of December 31, 2020 and 2021</w:t>
              </w:r>
            </w:hyperlink>
          </w:p>
        </w:tc>
        <w:tc>
          <w:tcPr>
            <w:tcW w:w="1340" w:type="dxa"/>
            <w:vAlign w:val="bottom"/>
          </w:tcPr>
          <w:p>
            <w:pPr>
              <w:ind w:left="108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Income for the Years Ended December 31, 2019, 2020 and 2021</w:t>
              </w:r>
            </w:hyperlink>
          </w:p>
        </w:tc>
        <w:tc>
          <w:tcPr>
            <w:tcW w:w="1340" w:type="dxa"/>
            <w:vAlign w:val="bottom"/>
          </w:tcPr>
          <w:p>
            <w:pPr>
              <w:ind w:left="108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Comprehensive Income for the Years Ended December 31, 2019, 2020 and 2021</w:t>
              </w:r>
            </w:hyperlink>
          </w:p>
        </w:tc>
        <w:tc>
          <w:tcPr>
            <w:tcW w:w="1340" w:type="dxa"/>
            <w:vAlign w:val="bottom"/>
          </w:tcPr>
          <w:p>
            <w:pPr>
              <w:ind w:left="108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Changes in Shareholders’ Equity for the Years Ended December 31, 2019, 2020 and 2021</w:t>
              </w:r>
            </w:hyperlink>
          </w:p>
        </w:tc>
        <w:tc>
          <w:tcPr>
            <w:tcW w:w="1340" w:type="dxa"/>
            <w:vAlign w:val="bottom"/>
          </w:tcPr>
          <w:p>
            <w:pPr>
              <w:ind w:left="108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2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 for the Years Ended December 31, 2019, 2020 and 2021</w:t>
              </w:r>
            </w:hyperlink>
          </w:p>
        </w:tc>
        <w:tc>
          <w:tcPr>
            <w:tcW w:w="1520" w:type="dxa"/>
            <w:vAlign w:val="bottom"/>
            <w:tcBorders>
              <w:top w:val="single" w:sz="8" w:color="0000EE"/>
            </w:tcBorders>
            <w:gridSpan w:val="2"/>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ind w:left="1080"/>
              <w:spacing w:after="0" w:line="196" w:lineRule="exact"/>
              <w:rPr>
                <w:sz w:val="20"/>
                <w:szCs w:val="20"/>
                <w:color w:val="auto"/>
              </w:rPr>
            </w:pPr>
            <w:r>
              <w:rPr>
                <w:rFonts w:ascii="Arial" w:cs="Arial" w:eastAsia="Arial" w:hAnsi="Arial"/>
                <w:sz w:val="18"/>
                <w:szCs w:val="18"/>
                <w:color w:val="auto"/>
                <w:w w:val="88"/>
              </w:rPr>
              <w:t>F-8</w:t>
            </w:r>
          </w:p>
        </w:tc>
      </w:tr>
      <w:tr>
        <w:trPr>
          <w:trHeight w:val="196"/>
        </w:trPr>
        <w:tc>
          <w:tcPr>
            <w:tcW w:w="12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1340" w:type="dxa"/>
            <w:vAlign w:val="bottom"/>
          </w:tcPr>
          <w:p>
            <w:pPr>
              <w:ind w:left="1080"/>
              <w:spacing w:after="0" w:line="196" w:lineRule="exact"/>
              <w:rPr>
                <w:sz w:val="20"/>
                <w:szCs w:val="20"/>
                <w:color w:val="auto"/>
              </w:rPr>
            </w:pPr>
            <w:r>
              <w:rPr>
                <w:rFonts w:ascii="Arial" w:cs="Arial" w:eastAsia="Arial" w:hAnsi="Arial"/>
                <w:sz w:val="18"/>
                <w:szCs w:val="18"/>
                <w:color w:val="auto"/>
                <w:w w:val="88"/>
              </w:rPr>
              <w:t>F-9</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5"/>
          </w:tcPr>
          <w:p>
            <w:pPr>
              <w:jc w:val="center"/>
              <w:ind w:right="3260"/>
              <w:spacing w:after="0"/>
              <w:rPr>
                <w:sz w:val="20"/>
                <w:szCs w:val="20"/>
                <w:color w:val="auto"/>
              </w:rPr>
            </w:pPr>
            <w:r>
              <w:rPr>
                <w:rFonts w:ascii="Arial" w:cs="Arial" w:eastAsia="Arial" w:hAnsi="Arial"/>
                <w:sz w:val="18"/>
                <w:szCs w:val="18"/>
                <w:color w:val="auto"/>
                <w:w w:val="88"/>
              </w:rPr>
              <w:t>F-1</w:t>
            </w:r>
          </w:p>
        </w:tc>
        <w:tc>
          <w:tcPr>
            <w:tcW w:w="1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Silicon Motion Technology Corporation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have audited the accompanying consolidated balance sheets of Silicon Motion Technology Corporation and subsidiaries (the “Company”) as of December 31, 2020 and 2021, the related consolidated statements of income, comprehensive income, changes in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2020 and 2021, and the results of its operations and its cash flows for each of the three years in the period ended December 31, 2021, in conformity with accounting principles generally accepted in the United States of America.</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April 25, 2022,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Company’s internal control over financial reporting.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86"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Inventory Valuation — Refer to Notes 2 and 5 to the consolidated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 Description</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Company’s inventories are stated at the lower of cost or net realizable value. Cost is determined on standard basis and adjusted to the approximate weighted-average cost at the balance sheet date. The Company adjusts the inventory carrying value to the lower of weighted-average cost or the estimated net realizable value after completing ongoing reviews of estimated obsolescence or unmarketable inventory based upon the timing of the introduction of new products and the quantities remaining of old products. Actual product demand may be significantly different than in the past or forecasted by the Company, which could have a material adverse effect on the Company’s inventories and cost of sales. As of December 31, 2021, the Company’s net inventory balance was $163,104 thousand.</w:t>
      </w:r>
    </w:p>
    <w:p>
      <w:pPr>
        <w:spacing w:after="0" w:line="178"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We identified net realizable value of inventory as a critical audit matter because of significant judgments made by management related to the forecasted product demand, which includes assumptions about the future market and economic conditions. This required a high degree of auditor’s judgment and an increased extent of effort when performing audit procedures to evaluate the reasonableness of net realizable value of inventory.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Critical Audit Matter Was Addressed in the Audit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procedures related to the Company’s net realizable value of inventory included the following, among others:</w:t>
      </w:r>
    </w:p>
    <w:p>
      <w:pPr>
        <w:spacing w:after="0" w:line="131" w:lineRule="exact"/>
        <w:rPr>
          <w:sz w:val="20"/>
          <w:szCs w:val="20"/>
          <w:color w:val="auto"/>
        </w:rPr>
      </w:pPr>
    </w:p>
    <w:p>
      <w:pPr>
        <w:ind w:left="1080" w:right="4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obtained an understanding of the Company’s methodology for determining inventory that is obsolete or unmarketable and the key assumptions and judgments made as part of the process, including the forecasted demand.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tested the effectiveness of controls over the review of the calculation for obsolete or unmarketable inventories based on the Company’s methodology, including management’s evaluation of the inventory aging and the forecasted demand.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evaluated the reasonableness of the Company’s methodology and key assumptions and judgments the Company used to estimate the net realizable value of inventory by performing the following: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compared the inventory level to forecasted product demand, historical sales, and subsequent sales.</w:t>
      </w:r>
    </w:p>
    <w:p>
      <w:pPr>
        <w:spacing w:after="0" w:line="130" w:lineRule="exact"/>
        <w:rPr>
          <w:rFonts w:ascii="Arial" w:cs="Arial" w:eastAsia="Arial" w:hAnsi="Arial"/>
          <w:sz w:val="18"/>
          <w:szCs w:val="18"/>
          <w:color w:val="auto"/>
        </w:rPr>
      </w:pPr>
    </w:p>
    <w:p>
      <w:pPr>
        <w:ind w:left="1540" w:right="320" w:hanging="331"/>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made inquiries of various personnel in the Company including, but not limited to, finance and operations personnel about the expected timing of the introduction of new products.</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evaluated whether there is an existence of contradictory evidence based on the information obtained from the Company’s internal communications to management, press releases, and industry reports, as well as our observations and inquires as to changes within the business.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tested the accuracy and completeness of the underlying data management utilized in evaluating inventory aging and forecasted demand when determining the reserve for obsolete or unmarketable inventories by performing the following: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We verified the accuracy of inventory aging for management’s evaluation of the obsolescence reserve on a sampling basis.</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We performed peer analysis and industry analysis to evaluate the reasonableness of the trend of the forecasted product demand.</w:t>
      </w:r>
    </w:p>
    <w:p>
      <w:pPr>
        <w:spacing w:after="0" w:line="153" w:lineRule="exact"/>
        <w:rPr>
          <w:rFonts w:ascii="Arial" w:cs="Arial" w:eastAsia="Arial" w:hAnsi="Arial"/>
          <w:sz w:val="16"/>
          <w:szCs w:val="16"/>
          <w:color w:val="auto"/>
        </w:rPr>
      </w:pPr>
    </w:p>
    <w:p>
      <w:pPr>
        <w:ind w:left="1540" w:right="460" w:hanging="331"/>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performed corroborating inquiries with the personnel responsible for sales forecasting to evaluate the reasonableness of the product demand forecasts.</w:t>
      </w: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Taipei, Taiwan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Republic of China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25,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1999.</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86"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SILICON MOTION TECHNOLOGY CORPORATION AND SUBSIDIARIES</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Par Value)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6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6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342,961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360,082</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Notes and accounts receivable, net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115,826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208,574</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110,162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163,104</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Restricted assets-current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24,098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48,506</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assets held for sale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13,922</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618,093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818,112</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Long-term investments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105,496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124,478</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4,615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742,060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971,328</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Notes and accounts payable</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44,535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80,768</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Refund liabilities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2,105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105,218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152,668</w:t>
            </w:r>
          </w:p>
        </w:tc>
        <w:tc>
          <w:tcPr>
            <w:tcW w:w="0" w:type="dxa"/>
            <w:vAlign w:val="bottom"/>
          </w:tcPr>
          <w:p>
            <w:pPr>
              <w:spacing w:after="0"/>
              <w:rPr>
                <w:sz w:val="1"/>
                <w:szCs w:val="1"/>
                <w:color w:val="auto"/>
              </w:rPr>
            </w:pPr>
          </w:p>
        </w:tc>
      </w:tr>
      <w:tr>
        <w:trPr>
          <w:trHeight w:val="223"/>
        </w:trPr>
        <w:tc>
          <w:tcPr>
            <w:tcW w:w="9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158,744</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25,574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32,177</w:t>
            </w:r>
          </w:p>
        </w:tc>
        <w:tc>
          <w:tcPr>
            <w:tcW w:w="0" w:type="dxa"/>
            <w:vAlign w:val="bottom"/>
          </w:tcPr>
          <w:p>
            <w:pPr>
              <w:spacing w:after="0"/>
              <w:rPr>
                <w:sz w:val="1"/>
                <w:szCs w:val="1"/>
                <w:color w:val="auto"/>
              </w:rPr>
            </w:pPr>
          </w:p>
        </w:tc>
      </w:tr>
      <w:tr>
        <w:trPr>
          <w:trHeight w:val="230"/>
        </w:trPr>
        <w:tc>
          <w:tcPr>
            <w:tcW w:w="9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184,318</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Shareholders’ Equity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at US$0.01 par value per share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Authorized: 500,000 thousand shares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Issued and outstanding: 138,168 thousand shares in 2020 and 139,764 thousand shares in 2021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275,132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294,656</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281,577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412,129</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(50,011)</w:t>
            </w:r>
          </w:p>
        </w:tc>
        <w:tc>
          <w:tcPr>
            <w:tcW w:w="0" w:type="dxa"/>
            <w:vAlign w:val="bottom"/>
          </w:tcPr>
          <w:p>
            <w:pPr>
              <w:spacing w:after="0"/>
              <w:rPr>
                <w:sz w:val="1"/>
                <w:szCs w:val="1"/>
                <w:color w:val="auto"/>
              </w:rPr>
            </w:pPr>
          </w:p>
        </w:tc>
      </w:tr>
      <w:tr>
        <w:trPr>
          <w:trHeight w:val="230"/>
        </w:trPr>
        <w:tc>
          <w:tcPr>
            <w:tcW w:w="9360" w:type="dxa"/>
            <w:vAlign w:val="bottom"/>
          </w:tcPr>
          <w:p>
            <w:pPr>
              <w:ind w:left="1080"/>
              <w:spacing w:after="0"/>
              <w:rPr>
                <w:sz w:val="20"/>
                <w:szCs w:val="20"/>
                <w:color w:val="auto"/>
              </w:rPr>
            </w:pPr>
            <w:r>
              <w:rPr>
                <w:rFonts w:ascii="Arial" w:cs="Arial" w:eastAsia="Arial" w:hAnsi="Arial"/>
                <w:sz w:val="18"/>
                <w:szCs w:val="18"/>
                <w:color w:val="auto"/>
              </w:rPr>
              <w:t>Total shareholders’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557,742</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shareholders’ equity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742,060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971,328</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86"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SILICON MOTION TECHNOLOGY CORPORATION AND SUBSIDIARIES</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Earnings Per Share)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5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6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6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457,253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539,521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922,100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COST OF SALES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235,081</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279,365</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222,172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260,156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460,795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110,305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121,784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164,291</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25,108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24,805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28,813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21,822</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Impairment of goodwill and intangible assets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15,970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17,489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170,027</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179,682</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52,145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80,474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245,869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NON-OPERATING INCOME (EXPENSES)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from disposal of subsidiary</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Gain from disposal of long-term investments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disposal of short-term investments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6,751</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4,636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net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(loss), net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480" w:type="dxa"/>
            <w:vAlign w:val="bottom"/>
          </w:tcPr>
          <w:p>
            <w:pPr>
              <w:ind w:left="720"/>
              <w:spacing w:after="0"/>
              <w:rPr>
                <w:sz w:val="20"/>
                <w:szCs w:val="20"/>
                <w:color w:val="auto"/>
              </w:rPr>
            </w:pPr>
            <w:r>
              <w:rPr>
                <w:rFonts w:ascii="Arial" w:cs="Arial" w:eastAsia="Arial" w:hAnsi="Arial"/>
                <w:sz w:val="18"/>
                <w:szCs w:val="18"/>
                <w:color w:val="auto"/>
              </w:rPr>
              <w:t>Total non-operating income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19,929</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72,074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85,558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247,264</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64,398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79,746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EARNINGS PER ORDINARY SHARE: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ORDINARY SHARES OUTSTANDING</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Basic (Thousands)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140,708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139,421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139,405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(Thousands)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141,183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139,910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139,968</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EARNINGS PER ADS (one ADS equals four ordinary shares):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ADS OUTSTANDING</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Basic (Thousands)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35,177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34,855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34,851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(Thousands)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35,296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34,978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34,992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SILICON MOTION TECHNOLOGY CORPORATION AND SUBSIDIARIES</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8680" w:type="dxa"/>
            <w:vAlign w:val="bottom"/>
          </w:tcPr>
          <w:p>
            <w:pPr>
              <w:spacing w:after="0"/>
              <w:rPr>
                <w:sz w:val="12"/>
                <w:szCs w:val="12"/>
                <w:color w:val="auto"/>
              </w:rPr>
            </w:pPr>
          </w:p>
        </w:tc>
        <w:tc>
          <w:tcPr>
            <w:tcW w:w="5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gridSpan w:val="2"/>
          </w:tcPr>
          <w:p>
            <w:pPr>
              <w:spacing w:after="0"/>
              <w:rPr>
                <w:sz w:val="12"/>
                <w:szCs w:val="12"/>
                <w:color w:val="auto"/>
              </w:rPr>
            </w:pPr>
          </w:p>
        </w:tc>
        <w:tc>
          <w:tcPr>
            <w:tcW w:w="5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64,398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79,746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COMPREHENSIVE INCOME (LOSS), NET OF TAX EFFECT OF NIL</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net foreign currency translation adjustments</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Change in deferred pension gain (loss)</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7"/>
        </w:trPr>
        <w:tc>
          <w:tcPr>
            <w:tcW w:w="8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(1,280)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63,118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80,182</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199,811</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SILICON MOTION TECHNOLOGY CORPORATION AND SUBSIDIARIES</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Ordinary Share</w:t>
            </w:r>
          </w:p>
        </w:tc>
        <w:tc>
          <w:tcPr>
            <w:tcW w:w="280" w:type="dxa"/>
            <w:vAlign w:val="bottom"/>
            <w:vMerge w:val="restart"/>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3"/>
                <w:szCs w:val="13"/>
                <w:color w:val="auto"/>
              </w:rPr>
            </w:pPr>
          </w:p>
        </w:tc>
        <w:tc>
          <w:tcPr>
            <w:tcW w:w="1520" w:type="dxa"/>
            <w:vAlign w:val="bottom"/>
            <w:tcBorders>
              <w:bottom w:val="single" w:sz="8" w:color="auto"/>
            </w:tcBorders>
            <w:gridSpan w:val="4"/>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2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Retained</w:t>
            </w: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Treasury</w:t>
            </w:r>
          </w:p>
        </w:tc>
        <w:tc>
          <w:tcPr>
            <w:tcW w:w="9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Earnings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280" w:type="dxa"/>
            <w:vAlign w:val="bottom"/>
            <w:gridSpan w:val="2"/>
          </w:tcPr>
          <w:p>
            <w:pPr>
              <w:spacing w:after="0"/>
              <w:rPr>
                <w:sz w:val="12"/>
                <w:szCs w:val="12"/>
                <w:color w:val="auto"/>
              </w:rPr>
            </w:pPr>
          </w:p>
        </w:tc>
        <w:tc>
          <w:tcPr>
            <w:tcW w:w="52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0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 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144,679</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263,230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2"/>
              </w:rPr>
              <w:t>495</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301,860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(34,755)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64,398</w:t>
            </w:r>
          </w:p>
        </w:tc>
        <w:tc>
          <w:tcPr>
            <w:tcW w:w="2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income (loss)</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(1,280)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Stock-based compensation expenses</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14,591</w:t>
            </w:r>
          </w:p>
        </w:tc>
        <w:tc>
          <w:tcPr>
            <w:tcW w:w="280" w:type="dxa"/>
            <w:vAlign w:val="bottom"/>
          </w:tcPr>
          <w:p>
            <w:pPr>
              <w:spacing w:after="0"/>
              <w:rPr>
                <w:sz w:val="17"/>
                <w:szCs w:val="17"/>
                <w:color w:val="auto"/>
              </w:rPr>
            </w:pP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ordinary shares upon exercise of restricted</w:t>
            </w: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 units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1,505</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Share repurchase</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(25,103)</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(25,103)</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Treasury stock retired</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(7,074)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(12,574)</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(47,213)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Dividends declared (US$0.35 per ordinary share)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(48,077)</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(48,077)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139,110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265,210</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270,968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79,746</w:t>
            </w:r>
          </w:p>
        </w:tc>
        <w:tc>
          <w:tcPr>
            <w:tcW w:w="2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income (loss)</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2"/>
              </w:rPr>
              <w:t>436</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Stock-based compensation expenses</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14,589</w:t>
            </w:r>
          </w:p>
        </w:tc>
        <w:tc>
          <w:tcPr>
            <w:tcW w:w="280" w:type="dxa"/>
            <w:vAlign w:val="bottom"/>
          </w:tcPr>
          <w:p>
            <w:pPr>
              <w:spacing w:after="0"/>
              <w:rPr>
                <w:sz w:val="17"/>
                <w:szCs w:val="17"/>
                <w:color w:val="auto"/>
              </w:rPr>
            </w:pP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ordinary shares upon exercise of restricted</w:t>
            </w: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 units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1,564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Share repurchase</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(25,044)</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(25,044)</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Treasury stock retired</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(2,506)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(4,629)</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(20,390)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Dividends declared (US$0.35 per ordinary share)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(48,747)</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(48,747)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138,168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275,132</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281,577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200,002</w:t>
            </w:r>
          </w:p>
        </w:tc>
        <w:tc>
          <w:tcPr>
            <w:tcW w:w="2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income (loss)</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(191)</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Stock-based compensation expenses</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19,545</w:t>
            </w:r>
          </w:p>
        </w:tc>
        <w:tc>
          <w:tcPr>
            <w:tcW w:w="280" w:type="dxa"/>
            <w:vAlign w:val="bottom"/>
          </w:tcPr>
          <w:p>
            <w:pPr>
              <w:spacing w:after="0"/>
              <w:rPr>
                <w:sz w:val="17"/>
                <w:szCs w:val="17"/>
                <w:color w:val="auto"/>
              </w:rPr>
            </w:pP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ordinary shares upon exercise of restricted</w:t>
            </w: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 units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1,596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4320" w:type="dxa"/>
            <w:vAlign w:val="bottom"/>
          </w:tcPr>
          <w:p>
            <w:pPr>
              <w:ind w:left="320"/>
              <w:spacing w:after="0"/>
              <w:rPr>
                <w:sz w:val="20"/>
                <w:szCs w:val="20"/>
                <w:color w:val="auto"/>
              </w:rPr>
            </w:pPr>
            <w:r>
              <w:rPr>
                <w:rFonts w:ascii="Arial" w:cs="Arial" w:eastAsia="Arial" w:hAnsi="Arial"/>
                <w:sz w:val="16"/>
                <w:szCs w:val="16"/>
                <w:color w:val="auto"/>
              </w:rPr>
              <w:t>Share repurchase</w:t>
            </w:r>
          </w:p>
        </w:tc>
        <w:tc>
          <w:tcPr>
            <w:tcW w:w="10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(50,011)</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(50,011)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 declared (US$0.50 per ordinary share)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(69,450)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(69,450)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6"/>
                <w:szCs w:val="16"/>
                <w:color w:val="auto"/>
              </w:rPr>
              <w:t>BALANCE, DECEMBER 31, 2021</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20" w:type="dxa"/>
            <w:vAlign w:val="bottom"/>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139,764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1,398</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294,656</w:t>
            </w:r>
          </w:p>
        </w:tc>
        <w:tc>
          <w:tcPr>
            <w:tcW w:w="2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(540)</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412,129</w:t>
            </w:r>
          </w:p>
        </w:tc>
        <w:tc>
          <w:tcPr>
            <w:tcW w:w="2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(50,011)</w:t>
            </w:r>
          </w:p>
        </w:tc>
        <w:tc>
          <w:tcPr>
            <w:tcW w:w="860" w:type="dxa"/>
            <w:vAlign w:val="bottom"/>
          </w:tcPr>
          <w:p>
            <w:pPr>
              <w:jc w:val="right"/>
              <w:spacing w:after="0"/>
              <w:rPr>
                <w:sz w:val="20"/>
                <w:szCs w:val="20"/>
                <w:color w:val="auto"/>
              </w:rPr>
            </w:pPr>
            <w:r>
              <w:rPr>
                <w:rFonts w:ascii="Arial" w:cs="Arial" w:eastAsia="Arial" w:hAnsi="Arial"/>
                <w:sz w:val="16"/>
                <w:szCs w:val="16"/>
                <w:color w:val="auto"/>
              </w:rPr>
              <w:t>657,632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86"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SILICON MOTION TECHNOLOGY CORPORATION AND SUBSIDIARIES</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8800" w:type="dxa"/>
            <w:vAlign w:val="bottom"/>
          </w:tcPr>
          <w:p>
            <w:pPr>
              <w:spacing w:after="0"/>
              <w:rPr>
                <w:sz w:val="13"/>
                <w:szCs w:val="13"/>
                <w:color w:val="auto"/>
              </w:rPr>
            </w:pPr>
          </w:p>
        </w:tc>
        <w:tc>
          <w:tcPr>
            <w:tcW w:w="222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8"/>
              </w:rPr>
              <w:t>Year Ended December 31</w:t>
            </w:r>
          </w:p>
        </w:tc>
        <w:tc>
          <w:tcPr>
            <w:tcW w:w="0" w:type="dxa"/>
            <w:vAlign w:val="bottom"/>
          </w:tcPr>
          <w:p>
            <w:pPr>
              <w:spacing w:after="0"/>
              <w:rPr>
                <w:sz w:val="1"/>
                <w:szCs w:val="1"/>
                <w:color w:val="auto"/>
              </w:rPr>
            </w:pPr>
          </w:p>
        </w:tc>
      </w:tr>
      <w:tr>
        <w:trPr>
          <w:trHeight w:val="128"/>
        </w:trPr>
        <w:tc>
          <w:tcPr>
            <w:tcW w:w="88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2020</w:t>
            </w: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0" w:type="dxa"/>
            <w:vAlign w:val="bottom"/>
          </w:tcPr>
          <w:p>
            <w:pPr>
              <w:spacing w:after="0"/>
              <w:rPr>
                <w:sz w:val="11"/>
                <w:szCs w:val="11"/>
                <w:color w:val="auto"/>
              </w:rPr>
            </w:pPr>
          </w:p>
        </w:tc>
        <w:tc>
          <w:tcPr>
            <w:tcW w:w="560" w:type="dxa"/>
            <w:vAlign w:val="bottom"/>
          </w:tcPr>
          <w:p>
            <w:pPr>
              <w:jc w:val="right"/>
              <w:ind w:right="113"/>
              <w:spacing w:after="0" w:line="129" w:lineRule="exact"/>
              <w:rPr>
                <w:sz w:val="20"/>
                <w:szCs w:val="20"/>
                <w:color w:val="auto"/>
              </w:rPr>
            </w:pPr>
            <w:r>
              <w:rPr>
                <w:rFonts w:ascii="Arial" w:cs="Arial" w:eastAsia="Arial" w:hAnsi="Arial"/>
                <w:sz w:val="13"/>
                <w:szCs w:val="13"/>
                <w:b w:val="1"/>
                <w:bCs w:val="1"/>
                <w:color w:val="auto"/>
              </w:rPr>
              <w:t>US$</w:t>
            </w:r>
          </w:p>
        </w:tc>
        <w:tc>
          <w:tcPr>
            <w:tcW w:w="2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6"/>
              </w:rPr>
              <w:t>US$</w:t>
            </w:r>
          </w:p>
        </w:tc>
        <w:tc>
          <w:tcPr>
            <w:tcW w:w="200" w:type="dxa"/>
            <w:vAlign w:val="bottom"/>
          </w:tcPr>
          <w:p>
            <w:pPr>
              <w:spacing w:after="0"/>
              <w:rPr>
                <w:sz w:val="11"/>
                <w:szCs w:val="11"/>
                <w:color w:val="auto"/>
              </w:rPr>
            </w:pPr>
          </w:p>
        </w:tc>
        <w:tc>
          <w:tcPr>
            <w:tcW w:w="580" w:type="dxa"/>
            <w:vAlign w:val="bottom"/>
          </w:tcPr>
          <w:p>
            <w:pPr>
              <w:jc w:val="right"/>
              <w:ind w:right="113"/>
              <w:spacing w:after="0" w:line="129" w:lineRule="exact"/>
              <w:rPr>
                <w:sz w:val="20"/>
                <w:szCs w:val="20"/>
                <w:color w:val="auto"/>
              </w:rPr>
            </w:pPr>
            <w:r>
              <w:rPr>
                <w:rFonts w:ascii="Arial" w:cs="Arial" w:eastAsia="Arial" w:hAnsi="Arial"/>
                <w:sz w:val="13"/>
                <w:szCs w:val="13"/>
                <w:b w:val="1"/>
                <w:bCs w:val="1"/>
                <w:color w:val="auto"/>
              </w:rPr>
              <w:t>US$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560" w:type="dxa"/>
            <w:vAlign w:val="bottom"/>
          </w:tcPr>
          <w:p>
            <w:pPr>
              <w:jc w:val="right"/>
              <w:spacing w:after="0"/>
              <w:rPr>
                <w:sz w:val="20"/>
                <w:szCs w:val="20"/>
                <w:color w:val="auto"/>
              </w:rPr>
            </w:pPr>
            <w:r>
              <w:rPr>
                <w:rFonts w:ascii="Arial" w:cs="Arial" w:eastAsia="Arial" w:hAnsi="Arial"/>
                <w:sz w:val="13"/>
                <w:szCs w:val="13"/>
                <w:color w:val="auto"/>
              </w:rPr>
              <w:t>64,398</w:t>
            </w:r>
          </w:p>
        </w:tc>
        <w:tc>
          <w:tcPr>
            <w:tcW w:w="2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79,746</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200,002</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540"/>
              <w:spacing w:after="0"/>
              <w:rPr>
                <w:sz w:val="20"/>
                <w:szCs w:val="20"/>
                <w:color w:val="auto"/>
              </w:rPr>
            </w:pPr>
            <w:r>
              <w:rPr>
                <w:rFonts w:ascii="Arial" w:cs="Arial" w:eastAsia="Arial" w:hAnsi="Arial"/>
                <w:sz w:val="13"/>
                <w:szCs w:val="13"/>
                <w:color w:val="auto"/>
              </w:rPr>
              <w:t>Depreciation and amortization</w:t>
            </w:r>
          </w:p>
        </w:tc>
        <w:tc>
          <w:tcPr>
            <w:tcW w:w="560" w:type="dxa"/>
            <w:vAlign w:val="bottom"/>
          </w:tcPr>
          <w:p>
            <w:pPr>
              <w:jc w:val="right"/>
              <w:spacing w:after="0"/>
              <w:rPr>
                <w:sz w:val="20"/>
                <w:szCs w:val="20"/>
                <w:color w:val="auto"/>
              </w:rPr>
            </w:pPr>
            <w:r>
              <w:rPr>
                <w:rFonts w:ascii="Arial" w:cs="Arial" w:eastAsia="Arial" w:hAnsi="Arial"/>
                <w:sz w:val="13"/>
                <w:szCs w:val="13"/>
                <w:color w:val="auto"/>
              </w:rPr>
              <w:t>12,447</w:t>
            </w:r>
          </w:p>
        </w:tc>
        <w:tc>
          <w:tcPr>
            <w:tcW w:w="2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13,562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17,160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Amortization of intangible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tcPr>
          <w:p>
            <w:pPr>
              <w:ind w:left="540"/>
              <w:spacing w:after="0"/>
              <w:rPr>
                <w:sz w:val="20"/>
                <w:szCs w:val="20"/>
                <w:color w:val="auto"/>
              </w:rPr>
            </w:pPr>
            <w:r>
              <w:rPr>
                <w:rFonts w:ascii="Arial" w:cs="Arial" w:eastAsia="Arial" w:hAnsi="Arial"/>
                <w:sz w:val="13"/>
                <w:szCs w:val="13"/>
                <w:color w:val="auto"/>
              </w:rPr>
              <w:t>Gain from disposal of short-term investments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(169)</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Gain (loss) from disposal of subsidiary</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(12,409)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293</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tcPr>
          <w:p>
            <w:pPr>
              <w:ind w:left="540"/>
              <w:spacing w:after="0"/>
              <w:rPr>
                <w:sz w:val="20"/>
                <w:szCs w:val="20"/>
                <w:color w:val="auto"/>
              </w:rPr>
            </w:pPr>
            <w:r>
              <w:rPr>
                <w:rFonts w:ascii="Arial" w:cs="Arial" w:eastAsia="Arial" w:hAnsi="Arial"/>
                <w:sz w:val="13"/>
                <w:szCs w:val="13"/>
                <w:color w:val="auto"/>
              </w:rPr>
              <w:t>Gain from disposal of long-term investments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(473)</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Stock-based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14,591</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14,589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19,545</w:t>
            </w:r>
          </w:p>
        </w:tc>
        <w:tc>
          <w:tcPr>
            <w:tcW w:w="0" w:type="dxa"/>
            <w:vAlign w:val="bottom"/>
          </w:tcPr>
          <w:p>
            <w:pPr>
              <w:spacing w:after="0"/>
              <w:rPr>
                <w:sz w:val="1"/>
                <w:szCs w:val="1"/>
                <w:color w:val="auto"/>
              </w:rPr>
            </w:pPr>
          </w:p>
        </w:tc>
      </w:tr>
      <w:tr>
        <w:trPr>
          <w:trHeight w:val="148"/>
        </w:trPr>
        <w:tc>
          <w:tcPr>
            <w:tcW w:w="8800" w:type="dxa"/>
            <w:vAlign w:val="bottom"/>
          </w:tcPr>
          <w:p>
            <w:pPr>
              <w:ind w:left="540"/>
              <w:spacing w:after="0"/>
              <w:rPr>
                <w:sz w:val="20"/>
                <w:szCs w:val="20"/>
                <w:color w:val="auto"/>
              </w:rPr>
            </w:pPr>
            <w:r>
              <w:rPr>
                <w:rFonts w:ascii="Arial" w:cs="Arial" w:eastAsia="Arial" w:hAnsi="Arial"/>
                <w:sz w:val="13"/>
                <w:szCs w:val="13"/>
                <w:color w:val="auto"/>
              </w:rPr>
              <w:t>Loss on disposal of property and equipment</w:t>
            </w:r>
          </w:p>
        </w:tc>
        <w:tc>
          <w:tcPr>
            <w:tcW w:w="560" w:type="dxa"/>
            <w:vAlign w:val="bottom"/>
          </w:tcPr>
          <w:p>
            <w:pPr>
              <w:jc w:val="right"/>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143</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Impairment of goodwill and intangible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15,970</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17,489</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tcPr>
          <w:p>
            <w:pPr>
              <w:ind w:left="540"/>
              <w:spacing w:after="0"/>
              <w:rPr>
                <w:sz w:val="20"/>
                <w:szCs w:val="20"/>
                <w:color w:val="auto"/>
              </w:rPr>
            </w:pPr>
            <w:r>
              <w:rPr>
                <w:rFonts w:ascii="Arial" w:cs="Arial" w:eastAsia="Arial" w:hAnsi="Arial"/>
                <w:sz w:val="13"/>
                <w:szCs w:val="13"/>
                <w:color w:val="auto"/>
              </w:rPr>
              <w:t>Deferred income taxes</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1,118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(667)</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(1,743)</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Changes in operating assets and liabilities: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800"/>
              <w:spacing w:after="0"/>
              <w:rPr>
                <w:sz w:val="20"/>
                <w:szCs w:val="20"/>
                <w:color w:val="auto"/>
              </w:rPr>
            </w:pPr>
            <w:r>
              <w:rPr>
                <w:rFonts w:ascii="Arial" w:cs="Arial" w:eastAsia="Arial" w:hAnsi="Arial"/>
                <w:sz w:val="13"/>
                <w:szCs w:val="13"/>
                <w:color w:val="auto"/>
              </w:rPr>
              <w:t>Short-term investments</w:t>
            </w:r>
          </w:p>
        </w:tc>
        <w:tc>
          <w:tcPr>
            <w:tcW w:w="560" w:type="dxa"/>
            <w:vAlign w:val="bottom"/>
          </w:tcPr>
          <w:p>
            <w:pPr>
              <w:jc w:val="right"/>
              <w:spacing w:after="0"/>
              <w:rPr>
                <w:sz w:val="20"/>
                <w:szCs w:val="20"/>
                <w:color w:val="auto"/>
              </w:rPr>
            </w:pPr>
            <w:r>
              <w:rPr>
                <w:rFonts w:ascii="Arial" w:cs="Arial" w:eastAsia="Arial" w:hAnsi="Arial"/>
                <w:sz w:val="13"/>
                <w:szCs w:val="13"/>
                <w:color w:val="auto"/>
              </w:rPr>
              <w:t>1,627</w:t>
            </w:r>
          </w:p>
        </w:tc>
        <w:tc>
          <w:tcPr>
            <w:tcW w:w="2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2,391</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Notes and accounts receivable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(18,755)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(7,091)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(92,749)</w:t>
            </w:r>
          </w:p>
        </w:tc>
        <w:tc>
          <w:tcPr>
            <w:tcW w:w="0" w:type="dxa"/>
            <w:vAlign w:val="bottom"/>
          </w:tcPr>
          <w:p>
            <w:pPr>
              <w:spacing w:after="0"/>
              <w:rPr>
                <w:sz w:val="1"/>
                <w:szCs w:val="1"/>
                <w:color w:val="auto"/>
              </w:rPr>
            </w:pPr>
          </w:p>
        </w:tc>
      </w:tr>
      <w:tr>
        <w:trPr>
          <w:trHeight w:val="148"/>
        </w:trPr>
        <w:tc>
          <w:tcPr>
            <w:tcW w:w="8800" w:type="dxa"/>
            <w:vAlign w:val="bottom"/>
          </w:tcPr>
          <w:p>
            <w:pPr>
              <w:ind w:left="800"/>
              <w:spacing w:after="0"/>
              <w:rPr>
                <w:sz w:val="20"/>
                <w:szCs w:val="20"/>
                <w:color w:val="auto"/>
              </w:rPr>
            </w:pPr>
            <w:r>
              <w:rPr>
                <w:rFonts w:ascii="Arial" w:cs="Arial" w:eastAsia="Arial" w:hAnsi="Arial"/>
                <w:sz w:val="13"/>
                <w:szCs w:val="13"/>
                <w:color w:val="auto"/>
              </w:rPr>
              <w:t>Inventories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(10,155)</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(21,723)</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(78,095)</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Prepaid expenses and other current assets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(1,932)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(5,031)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149"/>
        </w:trPr>
        <w:tc>
          <w:tcPr>
            <w:tcW w:w="8800" w:type="dxa"/>
            <w:vAlign w:val="bottom"/>
          </w:tcPr>
          <w:p>
            <w:pPr>
              <w:ind w:left="800"/>
              <w:spacing w:after="0"/>
              <w:rPr>
                <w:sz w:val="20"/>
                <w:szCs w:val="20"/>
                <w:color w:val="auto"/>
              </w:rPr>
            </w:pPr>
            <w:r>
              <w:rPr>
                <w:rFonts w:ascii="Arial" w:cs="Arial" w:eastAsia="Arial" w:hAnsi="Arial"/>
                <w:sz w:val="13"/>
                <w:szCs w:val="13"/>
                <w:color w:val="auto"/>
              </w:rPr>
              <w:t>Other assets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(397)</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172</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Notes and accounts payable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4,426</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13,848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36,233</w:t>
            </w:r>
          </w:p>
        </w:tc>
        <w:tc>
          <w:tcPr>
            <w:tcW w:w="0" w:type="dxa"/>
            <w:vAlign w:val="bottom"/>
          </w:tcPr>
          <w:p>
            <w:pPr>
              <w:spacing w:after="0"/>
              <w:rPr>
                <w:sz w:val="1"/>
                <w:szCs w:val="1"/>
                <w:color w:val="auto"/>
              </w:rPr>
            </w:pPr>
          </w:p>
        </w:tc>
      </w:tr>
      <w:tr>
        <w:trPr>
          <w:trHeight w:val="148"/>
        </w:trPr>
        <w:tc>
          <w:tcPr>
            <w:tcW w:w="8800" w:type="dxa"/>
            <w:vAlign w:val="bottom"/>
          </w:tcPr>
          <w:p>
            <w:pPr>
              <w:ind w:left="800"/>
              <w:spacing w:after="0"/>
              <w:rPr>
                <w:sz w:val="20"/>
                <w:szCs w:val="20"/>
                <w:color w:val="auto"/>
              </w:rPr>
            </w:pPr>
            <w:r>
              <w:rPr>
                <w:rFonts w:ascii="Arial" w:cs="Arial" w:eastAsia="Arial" w:hAnsi="Arial"/>
                <w:sz w:val="13"/>
                <w:szCs w:val="13"/>
                <w:color w:val="auto"/>
              </w:rPr>
              <w:t>Refund liabilities</w:t>
            </w:r>
          </w:p>
        </w:tc>
        <w:tc>
          <w:tcPr>
            <w:tcW w:w="560" w:type="dxa"/>
            <w:vAlign w:val="bottom"/>
          </w:tcPr>
          <w:p>
            <w:pPr>
              <w:jc w:val="right"/>
              <w:spacing w:after="0"/>
              <w:rPr>
                <w:sz w:val="20"/>
                <w:szCs w:val="20"/>
                <w:color w:val="auto"/>
              </w:rPr>
            </w:pPr>
            <w:r>
              <w:rPr>
                <w:rFonts w:ascii="Arial" w:cs="Arial" w:eastAsia="Arial" w:hAnsi="Arial"/>
                <w:sz w:val="13"/>
                <w:szCs w:val="13"/>
                <w:color w:val="auto"/>
              </w:rPr>
              <w:t>167</w:t>
            </w:r>
          </w:p>
        </w:tc>
        <w:tc>
          <w:tcPr>
            <w:tcW w:w="2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(154)</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1,777</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Accrued expenses and other current liabilities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10,607</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7,328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26,394</w:t>
            </w:r>
          </w:p>
        </w:tc>
        <w:tc>
          <w:tcPr>
            <w:tcW w:w="0" w:type="dxa"/>
            <w:vAlign w:val="bottom"/>
          </w:tcPr>
          <w:p>
            <w:pPr>
              <w:spacing w:after="0"/>
              <w:rPr>
                <w:sz w:val="1"/>
                <w:szCs w:val="1"/>
                <w:color w:val="auto"/>
              </w:rPr>
            </w:pPr>
          </w:p>
        </w:tc>
      </w:tr>
      <w:tr>
        <w:trPr>
          <w:trHeight w:val="148"/>
        </w:trPr>
        <w:tc>
          <w:tcPr>
            <w:tcW w:w="8800" w:type="dxa"/>
            <w:vAlign w:val="bottom"/>
          </w:tcPr>
          <w:p>
            <w:pPr>
              <w:ind w:left="800"/>
              <w:spacing w:after="0"/>
              <w:rPr>
                <w:sz w:val="20"/>
                <w:szCs w:val="20"/>
                <w:color w:val="auto"/>
              </w:rPr>
            </w:pPr>
            <w:r>
              <w:rPr>
                <w:rFonts w:ascii="Arial" w:cs="Arial" w:eastAsia="Arial" w:hAnsi="Arial"/>
                <w:sz w:val="13"/>
                <w:szCs w:val="13"/>
                <w:color w:val="auto"/>
              </w:rPr>
              <w:t>Income tax payable</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(1,698)</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4,421</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37,315</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800"/>
              <w:spacing w:after="0"/>
              <w:rPr>
                <w:sz w:val="20"/>
                <w:szCs w:val="20"/>
                <w:color w:val="auto"/>
              </w:rPr>
            </w:pPr>
            <w:r>
              <w:rPr>
                <w:rFonts w:ascii="Arial" w:cs="Arial" w:eastAsia="Arial" w:hAnsi="Arial"/>
                <w:sz w:val="13"/>
                <w:szCs w:val="13"/>
                <w:color w:val="auto"/>
              </w:rPr>
              <w:t>Other liabilities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(2,577)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(1,918)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7,386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800"/>
              <w:spacing w:after="0"/>
              <w:rPr>
                <w:sz w:val="20"/>
                <w:szCs w:val="20"/>
                <w:color w:val="auto"/>
              </w:rPr>
            </w:pPr>
            <w:r>
              <w:rPr>
                <w:rFonts w:ascii="Arial" w:cs="Arial" w:eastAsia="Arial" w:hAnsi="Arial"/>
                <w:sz w:val="13"/>
                <w:szCs w:val="13"/>
                <w:color w:val="auto"/>
              </w:rPr>
              <w:t>Net cash provided by operating activities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77,695</w:t>
            </w:r>
          </w:p>
        </w:tc>
        <w:tc>
          <w:tcPr>
            <w:tcW w:w="2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117,229</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174,698</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260"/>
              <w:spacing w:after="0"/>
              <w:rPr>
                <w:sz w:val="20"/>
                <w:szCs w:val="20"/>
                <w:color w:val="auto"/>
              </w:rPr>
            </w:pPr>
            <w:r>
              <w:rPr>
                <w:rFonts w:ascii="Arial" w:cs="Arial" w:eastAsia="Arial" w:hAnsi="Arial"/>
                <w:sz w:val="13"/>
                <w:szCs w:val="13"/>
                <w:color w:val="auto"/>
              </w:rPr>
              <w:t>Purchase of long-term investment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(2,000)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(3,507)</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sale of subsidiary</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43,968</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Proceeds from sale of long-term investment</w:t>
            </w:r>
          </w:p>
        </w:tc>
        <w:tc>
          <w:tcPr>
            <w:tcW w:w="560" w:type="dxa"/>
            <w:vAlign w:val="bottom"/>
          </w:tcPr>
          <w:p>
            <w:pPr>
              <w:jc w:val="right"/>
              <w:spacing w:after="0"/>
              <w:rPr>
                <w:sz w:val="20"/>
                <w:szCs w:val="20"/>
                <w:color w:val="auto"/>
              </w:rPr>
            </w:pPr>
            <w:r>
              <w:rPr>
                <w:rFonts w:ascii="Arial" w:cs="Arial" w:eastAsia="Arial" w:hAnsi="Arial"/>
                <w:sz w:val="13"/>
                <w:szCs w:val="13"/>
                <w:color w:val="auto"/>
              </w:rPr>
              <w:t>1,715</w:t>
            </w:r>
          </w:p>
        </w:tc>
        <w:tc>
          <w:tcPr>
            <w:tcW w:w="2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 of property and equipment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(11,015)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(19,545)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(24,657)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800"/>
              <w:spacing w:after="0"/>
              <w:rPr>
                <w:sz w:val="20"/>
                <w:szCs w:val="20"/>
                <w:color w:val="auto"/>
              </w:rPr>
            </w:pPr>
            <w:r>
              <w:rPr>
                <w:rFonts w:ascii="Arial" w:cs="Arial" w:eastAsia="Arial" w:hAnsi="Arial"/>
                <w:sz w:val="13"/>
                <w:szCs w:val="13"/>
                <w:color w:val="auto"/>
              </w:rPr>
              <w:t>Net cash provided by (used in) investing activities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34,668</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(21,545)</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(28,164)</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260"/>
              <w:spacing w:after="0"/>
              <w:rPr>
                <w:sz w:val="20"/>
                <w:szCs w:val="20"/>
                <w:color w:val="auto"/>
              </w:rPr>
            </w:pPr>
            <w:r>
              <w:rPr>
                <w:rFonts w:ascii="Arial" w:cs="Arial" w:eastAsia="Arial" w:hAnsi="Arial"/>
                <w:sz w:val="13"/>
                <w:szCs w:val="13"/>
                <w:color w:val="auto"/>
              </w:rPr>
              <w:t>Repayments of bank loan</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(50,000)</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bank loan</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tcPr>
          <w:p>
            <w:pPr>
              <w:ind w:left="260"/>
              <w:spacing w:after="0"/>
              <w:rPr>
                <w:sz w:val="20"/>
                <w:szCs w:val="20"/>
                <w:color w:val="auto"/>
              </w:rPr>
            </w:pPr>
            <w:r>
              <w:rPr>
                <w:rFonts w:ascii="Arial" w:cs="Arial" w:eastAsia="Arial" w:hAnsi="Arial"/>
                <w:sz w:val="13"/>
                <w:szCs w:val="13"/>
                <w:color w:val="auto"/>
              </w:rPr>
              <w:t>Dividends paid</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(44,029)</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(48,901)</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(54,039)</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Share repurchase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(26,231)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(25,013)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(45,696)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800"/>
              <w:spacing w:after="0"/>
              <w:rPr>
                <w:sz w:val="20"/>
                <w:szCs w:val="20"/>
                <w:color w:val="auto"/>
              </w:rPr>
            </w:pPr>
            <w:r>
              <w:rPr>
                <w:rFonts w:ascii="Arial" w:cs="Arial" w:eastAsia="Arial" w:hAnsi="Arial"/>
                <w:sz w:val="13"/>
                <w:szCs w:val="13"/>
                <w:color w:val="auto"/>
              </w:rPr>
              <w:t>Net cash used in financing activities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0" w:type="dxa"/>
            <w:vAlign w:val="bottom"/>
            <w:vMerge w:val="continue"/>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(70,260)</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(73,914)</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(99,735)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CASH EQUIVALENTS, AND RESTRICTED CASH</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42,103</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21,770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46,799</w:t>
            </w:r>
          </w:p>
        </w:tc>
        <w:tc>
          <w:tcPr>
            <w:tcW w:w="0" w:type="dxa"/>
            <w:vAlign w:val="bottom"/>
          </w:tcPr>
          <w:p>
            <w:pPr>
              <w:spacing w:after="0"/>
              <w:rPr>
                <w:sz w:val="1"/>
                <w:szCs w:val="1"/>
                <w:color w:val="auto"/>
              </w:rPr>
            </w:pPr>
          </w:p>
        </w:tc>
      </w:tr>
      <w:tr>
        <w:trPr>
          <w:trHeight w:val="148"/>
        </w:trPr>
        <w:tc>
          <w:tcPr>
            <w:tcW w:w="8800" w:type="dxa"/>
            <w:vAlign w:val="bottom"/>
          </w:tcPr>
          <w:p>
            <w:pPr>
              <w:ind w:left="260"/>
              <w:spacing w:after="0"/>
              <w:rPr>
                <w:sz w:val="20"/>
                <w:szCs w:val="20"/>
                <w:color w:val="auto"/>
              </w:rPr>
            </w:pPr>
            <w:r>
              <w:rPr>
                <w:rFonts w:ascii="Arial" w:cs="Arial" w:eastAsia="Arial" w:hAnsi="Arial"/>
                <w:sz w:val="13"/>
                <w:szCs w:val="13"/>
                <w:color w:val="auto"/>
              </w:rPr>
              <w:t>EFFECT OF EXCHANGE RATE CHANGES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(977)</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(812)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BEGINNING OF YEAR</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307,127</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348,253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369,211</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3"/>
                <w:szCs w:val="13"/>
                <w:color w:val="auto"/>
              </w:rPr>
              <w:t>CASH, CASH EQUIVALENTS, AND RESTRICTED CASH, END OF YEAR</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348,253</w:t>
            </w:r>
          </w:p>
        </w:tc>
        <w:tc>
          <w:tcPr>
            <w:tcW w:w="2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369,211</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415,523</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SUPPLEMENTAL INFORMATION</w:t>
            </w: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20"/>
                <w:szCs w:val="20"/>
                <w:color w:val="auto"/>
              </w:rPr>
            </w:pPr>
            <w:r>
              <w:rPr>
                <w:rFonts w:ascii="Arial" w:cs="Arial" w:eastAsia="Arial" w:hAnsi="Arial"/>
                <w:sz w:val="13"/>
                <w:szCs w:val="13"/>
                <w:color w:val="auto"/>
              </w:rPr>
              <w:t>Interest paid</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Income taxes paid</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5,612</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8,518</w:t>
            </w: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3,523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3"/>
                <w:szCs w:val="13"/>
                <w:color w:val="auto"/>
              </w:rPr>
              <w:t>Disposal of FCI</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consideration</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54,129</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800" w:type="dxa"/>
            <w:vAlign w:val="bottom"/>
          </w:tcPr>
          <w:p>
            <w:pPr>
              <w:ind w:left="260"/>
              <w:spacing w:after="0"/>
              <w:rPr>
                <w:sz w:val="20"/>
                <w:szCs w:val="20"/>
                <w:color w:val="auto"/>
              </w:rPr>
            </w:pPr>
            <w:r>
              <w:rPr>
                <w:rFonts w:ascii="Arial" w:cs="Arial" w:eastAsia="Arial" w:hAnsi="Arial"/>
                <w:sz w:val="13"/>
                <w:szCs w:val="13"/>
                <w:color w:val="auto"/>
              </w:rPr>
              <w:t>Other current assets</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(245)</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restricted cash disposed</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(9,916)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8800" w:type="dxa"/>
            <w:vAlign w:val="bottom"/>
          </w:tcPr>
          <w:p>
            <w:pPr>
              <w:ind w:left="260"/>
              <w:spacing w:after="0"/>
              <w:rPr>
                <w:sz w:val="20"/>
                <w:szCs w:val="20"/>
                <w:color w:val="auto"/>
              </w:rPr>
            </w:pPr>
            <w:r>
              <w:rPr>
                <w:rFonts w:ascii="Arial" w:cs="Arial" w:eastAsia="Arial" w:hAnsi="Arial"/>
                <w:sz w:val="13"/>
                <w:szCs w:val="13"/>
                <w:color w:val="auto"/>
              </w:rPr>
              <w:t>Proceeds from sale of subsidiary</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43,968</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Non-Cash Investing and Financing Activities: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rPr>
                <w:sz w:val="20"/>
                <w:szCs w:val="20"/>
                <w:color w:val="auto"/>
              </w:rPr>
            </w:pPr>
            <w:r>
              <w:rPr>
                <w:rFonts w:ascii="Arial" w:cs="Arial" w:eastAsia="Arial" w:hAnsi="Arial"/>
                <w:sz w:val="13"/>
                <w:szCs w:val="13"/>
                <w:color w:val="auto"/>
              </w:rPr>
              <w:t>Unpaid purchase of property and equipment included in accounts payable and accrued liabilities</w:t>
            </w:r>
          </w:p>
        </w:tc>
        <w:tc>
          <w:tcPr>
            <w:tcW w:w="560" w:type="dxa"/>
            <w:vAlign w:val="bottom"/>
          </w:tcPr>
          <w:p>
            <w:pPr>
              <w:jc w:val="right"/>
              <w:spacing w:after="0"/>
              <w:rPr>
                <w:sz w:val="20"/>
                <w:szCs w:val="20"/>
                <w:color w:val="auto"/>
              </w:rPr>
            </w:pPr>
            <w:r>
              <w:rPr>
                <w:rFonts w:ascii="Arial" w:cs="Arial" w:eastAsia="Arial" w:hAnsi="Arial"/>
                <w:sz w:val="13"/>
                <w:szCs w:val="13"/>
                <w:color w:val="auto"/>
              </w:rPr>
              <w:t>523</w:t>
            </w:r>
          </w:p>
        </w:tc>
        <w:tc>
          <w:tcPr>
            <w:tcW w:w="2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2,105</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2,281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Dividend declared included in accrued expenses and accrued liabilities</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35,906</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3"/>
                <w:szCs w:val="13"/>
                <w:color w:val="auto"/>
              </w:rPr>
              <w:t>36,658</w:t>
            </w: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51,681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SILICON MOTION TECHNOLOGY CORPORATION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Silicon Motion Technology Corporation (“SMTC”, collectively with its subsidiaries the “Company”) is the global leader in supplying NAND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flash controllers for solid state storage devices. The Company supply more SSD controllers than any other company in the world for servers, PCs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client devices and are the leading merchant supplier of eMMC and UFS embedded storage controllers used in smartphones, IoT devices and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The Company also supply customized high-performance hyperscale data center and specialized industrial and automotive SSD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solutions. Our customers include most of the NAND flash vendors, storage device module makers and leading OEMs. For further information on Silicon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Motion, visit us at www.siliconmotion.com.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The consolidated financial statements include the accounts of SMTC and its wholly-owned subsidiaries. The Company owns 100% of the outstanding shares in all of its subsidiaries. All significant intercompany balances and transactions have been eliminated upon consolidation.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certain reported amounts and disclosures. The actual results could differ from those estimates.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Disposal of Subsidiary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accounts for the disposal of a subsidiary when it ceases to control the subsidiary’s assets and liabilities. A gain or loss is recognized and measured as the difference between the fair value of consideration received or to be received and the value of assets, liabilities and equity components de-recognized, related to that subsidiary when deconsolidated.</w:t>
      </w:r>
    </w:p>
    <w:p>
      <w:pPr>
        <w:spacing w:after="0" w:line="18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On May 31, 2019, the Company completed the sale of FCI to Dialog Semiconductor for a total consideration of approximately US$ 54 million. The Company derecognized the assets and liabilities and recorded a gain of US$12,409 thousand, net of transaction fees on the disposal, which is the difference between the consideration of US$54 million and the US$39,367 thousand carrying value of the subsidiary. US$5,400 thousand of the consideration was withheld and deposited into an escrow account and was classified as restricted assets-current on the consolidated balance sheet as of December 31, 2020. The escrowed amount was released as of December 31,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Financial instruments that potentially subject the Company to a significant concentration of credit risk consist principally of cash equivalents and accounts receivable. Cash, cash equivalents are maintained with high quality financial institutions, the composition and maturities of which are regularly monitored by management. The Company believes that the concentration of credit risk in its trade receivables, is substantially mitigated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Company’s credit evaluation process, relatively short collection terms and the high level of credit worthiness of its customers. The Company performs ongoing credit evaluations of its customers’ financial conditions and limits the amount of credit extended based upon payment history and the customer’s current credit worthiness. The Company regularly reviews the allowance for bad debt and doubtful accounts or expected losses during the accounts receivable collection process by considering factors, such as historical write-off and recovery experience, credit quality, age of the accounts receivable balances and current economic conditions that may affect a customer’s ability to pay. The Company also takes into account reasonable and supportable forecasts of future conditions when evaluating the adequacy of the allowance for doubtful accounts.</w:t>
      </w:r>
    </w:p>
    <w:p>
      <w:pPr>
        <w:spacing w:after="0" w:line="16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Historically, a relatively small number of customers have accounted for a significant portion of our net revenue. Sales to two customers in 2019 and 2021, and one customer in 2020 accounted for 10% or more of our net revenue, representing 31%, 24% and 36% of our net revenue in 2019, 2020 and 2021, respectively. In 2019 and 2021 the significant customers were Micron and Intel and in 2020 was Micron. The Company’s top ten customers in 2019, 2020 and 2021 accounted for approximately 74%, 71% and 76% of net sales, respectively.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carrying amount of the Company’s financial instruments, including cash and cash equivalents, notes and accounts receivable and notes and accounts payables approximates fair value due to the short-term maturity of the instruments. Long-term investments in privately-held companies with no readily determinable market value are recorded using the cost method, since the cost of obtaining verifiable fair value is unreasonably high. These investments are measured at cost less impairment, if any, plus or minus any changes resulting from observable price changes in orderly transactions for an identical or similar investment of the same issuer. Any resulting change in carrying amount would be reflected in net income. The Company’s long-term liabilities approximate their fair values as they contain interest rates that vary according to market interest rates.</w:t>
      </w:r>
    </w:p>
    <w:p>
      <w:pPr>
        <w:spacing w:after="0" w:line="16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Fair value is the price that would be received upon sale of an asset or paid upon transfer of a liability in an orderly transaction between market participants at the measurement date and in the principal or most advantageous market for that assets or liability. The fair value should be calculated based on assumptions that market participants would use in pricing the asset or liability, not on assumptions specific to the Company. A three-tier fair value hierarchy is established as a basis for considering such assumptions and for inputs used in the valuation methodologies in measuring fair value.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Use unadjusted quoted prices in active markets for identical assets or liabilities.</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Level 2 — Use observable inputs other than Level 1 prices such as quoted prices for identical or similar instruments in markets that are not active, quoted prices for similar instruments in active markets, and model-based valuation in which all significant inputs are observable or can be corroborated by observable market data for substantially the full term of the assets or liabilities.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 — Use inputs that are generally unobservable and reflect the use of significant management judgments and estimates.</w:t>
      </w:r>
    </w:p>
    <w:p>
      <w:pPr>
        <w:sectPr>
          <w:pgSz w:w="11900" w:h="16838" w:orient="portrait"/>
          <w:cols w:equalWidth="0" w:num="1">
            <w:col w:w="11120"/>
          </w:cols>
          <w:pgMar w:left="320" w:top="486"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considers all highly liquid instruments acquired with a remaining maturity of three months or less when purchased to be cash equivalents. In addition, time deposits with maturities ranging from more than three months to one year qualifies as cash equivalents because they can be readily converted into known amounts of cash without advance notice with the principal of the time deposits protected and not subject to penalty in an early withdrawal.</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820"/>
          </w:cols>
          <w:pgMar w:left="440" w:top="125" w:right="6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Receivables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 allowance for doubtful receivables is provided based on a review of the collectability of accounts receivables. The Company determines the amount of allowance for doubtful receivables by examining the historical collection experience, current trends in the credit quality of its customers and its internal credit policies as well as current economic conditions, reasonable and supportable forecasts of future economic conditions, and other factors that may affect a customer’s ability to pay.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Inventories are stated at the lower of cost or net realizable value for raw materials, work in process and finished goods. Inventories are recorded at standard cost and adjusted to the approximate weighted-average cost at the balance sheet date. The Company assesses its net realizable value of the inventory for estimated obsolescence or unmarketable inventory based upon management’s assumptions about future demand and market conditions. In estimating reserves for obsolescence, the Company primarily evaluates estimates based on the timing of the introduction of new products and the quantities remaining of old products and provides reserves for inventory on hand in excess of the estimated demand. Estimated losses on slow-moving items are recognized and included in the allowance for losses.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Investments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Investee companies over which the Company had the ability to exercise significant influence but did not have a controlling interest and was the primary beneficiary were accounted for using the equity method. Significant influence was generally considered to exist when the Company had an ownership interest in the voting shares of the investee between 20% and 50% and other factors, such as representation in the investee’s board of directors, voting rights and the impact of commercial arrangements, were considered in determining whether the equity method of accounting was appropriate. Under this method of accounting, the Company recorded its proportionate share of the net earnings or losses of equity method investees and a corresponding increase or decrease to the investment balances. The Company evaluated its equity method investments for impairment whenever events or changes in circumstances indicated that the carrying amounts of such investments might not be recoverable.</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 elected to record equity investments without readily determinable fair values and not accounted for by the equity method at cost less impairment and adjusted for subsequent changes in fair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Noncurrent Assets Held for Sale</w:t>
      </w:r>
    </w:p>
    <w:p>
      <w:pPr>
        <w:spacing w:after="0" w:line="117"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Noncurrent assets are reclassified as held for sale if they meet the criteria specified in Accounting Standard Codification (“ASC”) 360, “Property, Plant, and Equipment”. When the Company has a change to the plan and decide not to sell, at the time the decision is made, noncurrent assets that were previously classified as held for sale should be reclassified as held and used under property and equipment.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Significant additions, renewals and betterments are capitalized, while maintenance and repairs are expensed as incurred.</w:t>
      </w:r>
    </w:p>
    <w:p>
      <w:pPr>
        <w:sectPr>
          <w:pgSz w:w="11900" w:h="16838" w:orient="portrait"/>
          <w:cols w:equalWidth="0" w:num="1">
            <w:col w:w="11100"/>
          </w:cols>
          <w:pgMar w:left="320" w:top="486" w:right="479" w:bottom="1440" w:gutter="0" w:footer="0" w:header="0"/>
        </w:sectPr>
      </w:pPr>
    </w:p>
    <w:bookmarkStart w:id="77" w:name="page78"/>
    <w:bookmarkEnd w:id="77"/>
    <w:p>
      <w:pPr>
        <w:ind w:firstLine="440"/>
        <w:spacing w:after="0" w:line="257" w:lineRule="auto"/>
        <w:rPr>
          <w:sz w:val="20"/>
          <w:szCs w:val="20"/>
          <w:color w:val="auto"/>
        </w:rPr>
      </w:pPr>
      <w:r>
        <w:rPr>
          <w:rFonts w:ascii="Arial" w:cs="Arial" w:eastAsia="Arial" w:hAnsi="Arial"/>
          <w:sz w:val="18"/>
          <w:szCs w:val="18"/>
          <w:color w:val="auto"/>
        </w:rPr>
        <w:t>Depreciation is computed using the straight-line method over estimated useful lives that range as follows: buildings — 25 to 50 years; machinery and equipment — 3 to 6 years; furniture and fixtures — 3 to 8 years; software — 1 to 5 years; leasehold and buildings improvement — the shorter of the estimated useful life or lease term, which is generally 2 to 6 years. Land is not depreciated. Depreciation expense on property and equipment were approximately US$12,447 thousand, US$13,562 thousand and US$17,160 thousand for the years ended December 31, 2019, 2020 and 202 1,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00"/>
          </w:cols>
          <w:pgMar w:left="440" w:top="125"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Upon the sale or other disposal of property and equipment, the related cost and accumulated depreciation are removed from the accounts, and any gain or loss is credited or charged to operating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Company determines if an arrangement is a lease at inception. Operating lease right-of-use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lease term, in determining the present value of lease payments. Lease expense for these leases is recognized on a straight line basis over the lease term.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Goodwill is the excess of the purchase price paid over the fair value of the net tangible and intangible assets acquired in a business combination.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which consist primarily of development technology, are amortized over their estimated useful lives, of 3.5 to 4.5 years.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 and Long-Lived Assets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evaluates the recoverability of long-lived assets whenever events or changes in circumstances indicate the carrying value may not be recoverable. The determination of recoverability is based on an estimate of undiscounted cash flows expected to result from the use of an asset and its eventual disposition. The estimate of cash flows is based upon, among other things, certain assumptions about expected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is less than the carrying value, an impairment loss is recognized, measured as the amount by which the carrying value exceeds the fair value of the asset. Fair value is determined by reference to quoted market prices, if available, or discounted cash flows, as appropriate. See Note 9, “Goodwill and Acquired Intangible Assets,” regarding impairment testing in fiscal year 2019 and 2020.</w:t>
      </w:r>
    </w:p>
    <w:p>
      <w:pPr>
        <w:spacing w:after="0" w:line="17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Company monitors the recoverability of goodwill recorded in connection with acquisitions, by reporting unit, annually, or sooner if events or changes in circumstances indicate that the carrying amount may not be recoverable. The Company conducts its annual impairment test of goodwill on November 30. Reporting units may be operating segments as a whole or an operation one level below an operating segment, referred to as a component.</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Estimating fair value is performed by utilizing various valuation approaches, such as income approach or market approach. The total of all reporting unit fair values is also compared to the Company’s market capitalization plus control premium for reasonableness. See Note 9, “Goodwill and Acquired Intangible Assets,” regarding impairment testing.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assets primarily consist of deposit for Taipei office construction and office leases.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Restricted assets consist of restricted cash, cash set aside as collateral for obtaining foundry capacity and escrow cash received from the sale of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86"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long-term liabilities primarily consist of noncurrent lease liabilities and unrecognized tax benefit.</w:t>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Costs</w:t>
      </w:r>
    </w:p>
    <w:p>
      <w:pPr>
        <w:spacing w:after="0" w:line="117"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For employees under defined contribution pension plans, pension costs are recorded based on the actual contributions made to employees’ individual pension accounts. For employees under defined benefit pension plans, pension costs are recorded based on actuarial calculations.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600" w:firstLine="440"/>
        <w:spacing w:after="0" w:line="287" w:lineRule="auto"/>
        <w:rPr>
          <w:sz w:val="20"/>
          <w:szCs w:val="20"/>
          <w:color w:val="auto"/>
        </w:rPr>
      </w:pPr>
      <w:r>
        <w:rPr>
          <w:rFonts w:ascii="Arial" w:cs="Arial" w:eastAsia="Arial" w:hAnsi="Arial"/>
          <w:sz w:val="16"/>
          <w:szCs w:val="16"/>
          <w:color w:val="auto"/>
        </w:rPr>
        <w:t>The Company recognizes revenue upon transfer of control of promised products or services to customers in an amount that reflects the consideration the Company expects to receive in exchange for those products or services. Under the revenue recognition standard of Accounting Standards Codification Topic 606, Revenue from Contracts with Customer (ASC 606), the Company applies the following five-step approach:</w:t>
      </w:r>
    </w:p>
    <w:p>
      <w:pPr>
        <w:spacing w:after="0" w:line="2" w:lineRule="exact"/>
        <w:rPr>
          <w:sz w:val="20"/>
          <w:szCs w:val="20"/>
          <w:color w:val="auto"/>
        </w:rPr>
      </w:pPr>
    </w:p>
    <w:p>
      <w:pPr>
        <w:ind w:left="120" w:right="340" w:hanging="4"/>
        <w:spacing w:after="0" w:line="323" w:lineRule="auto"/>
        <w:tabs>
          <w:tab w:leader="none" w:pos="3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3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enters into contracts that may include products that are capable of being distinct and accounted for as separate performance obligations. To date, the majority of the revenue has been generated by sales associated with products, where a single performance obligation is identified in general. Revenue from services has been insignificant. Performance obligations associated with product sales transactions are generally satisfied when control passes to customers upon shipment or the written acceptance of the customers. Accordingly, product revenue is recognized at a point in time when control of the asset is transferred to the customer. The Company recognizes revenue when it satisfies a performance obligation by transferring control of a product to a customer in an amount that reflects the consideration to which it is entitled in exchange for those goods. Some of the Company’s sales are made to distributors and revenue is recognized when control of a product passes to the distributor upon shipment and terms and payment by the distributor are not contingent on resale of the product.</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grants certain distributors limited rights of return and price protection rights on unsold products. The return rights are generally limited to five percent of the monetary value of products purchased within the preceding six months, provided that the distributor places a corresponding restocking order of equal or greater value. An allowance for sales returns for distributors and all customers is recorded at the time of sale based on historical returns information available, management’s judgment and any known factors at the time the financial statements are prepared that would significantly affect the allowance. Price protection rights are based on the inventory of products the distributors have on hand at the date the price protection is offered. Actual price adjustments to distributors incurred by the Company have been minimal.</w:t>
      </w:r>
    </w:p>
    <w:p>
      <w:pPr>
        <w:spacing w:after="0" w:line="178"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The Company provides warranty for its products. Warranty returns have been infrequent and relate to defective or off-specification parts. The Company estimates a reserve for warranty based on historical experience and records this amount to cost of sales. For the years ended December 31, 2019, 2020 and 2021, the Company did not experience significant costs associated with warranty returns.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expense consists primarily of personnel-related expenses, including stock-based compensation, as well as product masks, IP licensing, design tool and testing costs, equipment depreciation, amortization of intangible assets and an allocated portion of occupancy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provision for income tax represents income tax paid and payable for the current year plus changes in the deferred income tax assets and liabilities during the years. Deferred income tax assets are recognized for net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operating loss carryforwards, research and development credits, and temporary differences. The Company believes that uncertainty exists regarding the realizability of certain deferred income tax assets and, accordingly, has established a valuation allowance for those deferred income tax assets to the extent the realizability is not deemed to be more likely than not. Deferred income tax assets and liabilities are measured using enacted tax rates.</w:t>
      </w:r>
    </w:p>
    <w:p>
      <w:pPr>
        <w:spacing w:after="0" w:line="149"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Company utilizes a two steps approach to recognizing and measuring uncertain tax positions. The first step is to evaluate the tax position for recognition by determining if the weight of available evidence indicates it is more likely than not that the position will be sustained in a dispute with taxing authorities, including resolution of related appeals or litigation processes, if any. The second step is to measure the tax benefit as the largest amount which is more than 50% likely of being realized upon ultimate settlement. Changes in recognition or measurement are reflected in the period in which the change in judgment occurs. The Company records interest and penalties related to unrecognized tax benefits in income tax expense.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Foreign currency transactions are recorded at the rates of exchange in effect when the transaction occurs. Gains or losses, resulting from the application of different foreign exchange rates when cash in foreign currency is converted into the entities’ functional currency, or when foreign currency receivables and payables are settled, are credited or charged to income in the period of conversion or settlement. At the balance sheet date, assets and liabilities denominated in foreign currencies are remeasured based on prevailing exchange rates and any resulting gains or losses are credited or charged to income.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Translation of Foreign Currency Financial Statements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reporting currency of the Company is the U.S. dollars. The functional currency of some of the Company’s subsidiaries is the local currency of the respective entity. Accordingly, the financial statements of the foreign subsidiaries were translated into U.S. dollars at the following exchange rates: assets and liabilities — current rate on the balance sheet date; shareholders’ equity — historical rates; income and expenses — average rate during the period. The resulting translation adjustment is recorded as a separate component of comprehensive income.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Comprehensive income and loss represents net income (loss) plus the results of certain changes in shareholders’ equity during a period from non-owner sources. The following table presents the components of accumulated other comprehensive income (loss) as of December 31, 2019, 2020 and 2021:</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 2019</w:t>
            </w:r>
          </w:p>
        </w:tc>
        <w:tc>
          <w:tcPr>
            <w:tcW w:w="2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 2020</w:t>
            </w: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9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US$</w:t>
            </w:r>
          </w:p>
        </w:tc>
        <w:tc>
          <w:tcPr>
            <w:tcW w:w="9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US$</w:t>
            </w:r>
          </w:p>
        </w:tc>
        <w:tc>
          <w:tcPr>
            <w:tcW w:w="9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7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Defined</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7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Defined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6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7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Defined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benefit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820" w:type="dxa"/>
            <w:vAlign w:val="bottom"/>
            <w:gridSpan w:val="2"/>
            <w:vMerge w:val="continue"/>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benefit</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820" w:type="dxa"/>
            <w:vAlign w:val="bottom"/>
            <w:gridSpan w:val="2"/>
            <w:vMerge w:val="continue"/>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benefit</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currency</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pension</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pension</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pension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items</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plans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income (loss)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items</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plans</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items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plans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1"/>
              </w:rPr>
              <w:t>(349)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Current-period change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497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436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w w:val="99"/>
              </w:rPr>
              <w:t>(191)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(540)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is regularly involved in various claims and legal proceedings. Periodically, the Company reviews the status of each significant matter and assesses the potential financial exposure. If the potential loss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86"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from any claim or legal proceeding is considered probable and the amount can be estimated, the Company accrues a liability for the estimated loss. Because of uncertainties related to these matters, accruals are based only on the best information available at the time. As additional information becomes available, the Company reassesses the potential liability related to the pending claims and litigation and revises these estimates as appropriate. Such revisions in the estimates of the potential liabilities could have a material impact on the results of operations and financial position.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Basic earnings per share are computed by dividing net earnings attributable to ordinary shareholders by the weighted-average number of ordinary shares outstanding during the period. Diluted earnings per share are computed by dividing net income attributable to ordinary shareholders by the weighted-average number of ordinary shares and potentially dilutive shares of ordinary shares outstanding during the period. Dilutive shares outstanding include unvested RSUs. Dilutive securities are excluded from the computation of the diluted income per share in periods when their effect is anti-dilutive. The effect of dilutive securities of restricted stock units were 475 thousand shares (119 thousand ADSs), 489 thousand shares (123 thousand ADSs) and 563 thousand shares (141 thousand ADSs) for the years ended December 31, 2019, 2020 and 2021,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The Company accounts for stock-based compensation in accordance with ASC 718 Compensation — Stock Compensation. The value of our restricted stock units is based on the fair value of our shares on the date of grant and expensed over the vesting period.</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fair value of RSUs was measured based on the grant date share price, less the present value of expected dividends during the vesting period, discounted at a risk-free interest rate.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Treasury stock is stated at cost and shown as a reduction to shareholders’ equity.</w:t>
      </w:r>
    </w:p>
    <w:p>
      <w:pPr>
        <w:spacing w:after="0" w:line="225" w:lineRule="exact"/>
        <w:rPr>
          <w:sz w:val="20"/>
          <w:szCs w:val="20"/>
          <w:color w:val="auto"/>
        </w:rPr>
      </w:pPr>
    </w:p>
    <w:p>
      <w:pPr>
        <w:ind w:left="120" w:right="500" w:firstLine="440"/>
        <w:spacing w:after="0" w:line="311" w:lineRule="auto"/>
        <w:rPr>
          <w:sz w:val="20"/>
          <w:szCs w:val="20"/>
          <w:color w:val="auto"/>
        </w:rPr>
      </w:pPr>
      <w:r>
        <w:rPr>
          <w:rFonts w:ascii="Arial" w:cs="Arial" w:eastAsia="Arial" w:hAnsi="Arial"/>
          <w:sz w:val="16"/>
          <w:szCs w:val="16"/>
          <w:color w:val="auto"/>
        </w:rPr>
        <w:t>The Company retires ordinary shares repurchased. Accordingly, upon retirement the excess of the purchase price over par value is allocated between additional paid-in capital and retained earnings based on the average issuance price of the shares repurchased. A repurchase of ADSs is recorded as treasury stock until the Company completes the withdrawal of the underlying ordinary shares from the ADS program.</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December 2019, the FASB issued an accounting update which eliminated certain exceptions to the general principles in ASC 740, such as recognizing deferred taxes for equity investments, the incremental approach to performing intra-period tax allocation, and calculating income taxes in interim periods. The standard also simplified income tax accounting for franchise taxes that are partially based on income, transactions with a government that result in a step-up in the tax basis of goodwill, separate financial statements of legal entities that are not subject to tax, and enacted changes in tax laws in interim period. This amendment is effective for fiscal years beginning after December 15, 2020. Early adoption is permitted. The adoption of this amendment did not have a material impact on the Company’s results of operations, financial position, cash flows or financial statement disclosures.</w:t>
      </w:r>
    </w:p>
    <w:p>
      <w:pPr>
        <w:spacing w:after="0" w:line="19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July 2021, the FASB issued an accounting update, which requires lessors to classify leases as operating leases if they have variable lease payments that do not depend on an index or rate and would have selling losses at lease commencement if they were classified as sales-type or direct financing leases. This amendment is effective for fiscal years beginning after December 15, 2021. Early adoption is permitted. The Company is currently evaluating the impact that the adoption will have on its results of operations, financial position, cash flows and financial statement disclosures.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CASH, CASH EQUIVALENTS, AND RESTRICTED CASH</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deposits in bank</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0"/>
              </w:rPr>
              <w:t>54,947</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135,099</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8"/>
          </w:tcPr>
          <w:p>
            <w:pPr>
              <w:jc w:val="right"/>
              <w:ind w:right="80"/>
              <w:spacing w:after="0"/>
              <w:rPr>
                <w:sz w:val="20"/>
                <w:szCs w:val="20"/>
                <w:color w:val="auto"/>
              </w:rPr>
            </w:pPr>
            <w:r>
              <w:rPr>
                <w:rFonts w:ascii="Arial" w:cs="Arial" w:eastAsia="Arial" w:hAnsi="Arial"/>
                <w:sz w:val="18"/>
                <w:szCs w:val="18"/>
                <w:color w:val="auto"/>
              </w:rPr>
              <w:t>265,936</w:t>
            </w:r>
          </w:p>
        </w:tc>
        <w:tc>
          <w:tcPr>
            <w:tcW w:w="8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189,544</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0"/>
              </w:rPr>
              <w:t>22,078</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35,439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 cash and cash equivalents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342,961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360,082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0"/>
              </w:rPr>
              <w:t>26,250</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55,441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369,211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415,523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NOTES AND ACCOUNTS RECEIVABLE</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117,387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5"/>
          </w:tcPr>
          <w:p>
            <w:pPr>
              <w:jc w:val="right"/>
              <w:ind w:right="80"/>
              <w:spacing w:after="0"/>
              <w:rPr>
                <w:sz w:val="20"/>
                <w:szCs w:val="20"/>
                <w:color w:val="auto"/>
              </w:rPr>
            </w:pPr>
            <w:r>
              <w:rPr>
                <w:rFonts w:ascii="Arial" w:cs="Arial" w:eastAsia="Arial" w:hAnsi="Arial"/>
                <w:sz w:val="18"/>
                <w:szCs w:val="18"/>
                <w:color w:val="auto"/>
                <w:w w:val="87"/>
              </w:rPr>
              <w:t>(1,561)</w:t>
            </w:r>
          </w:p>
        </w:tc>
        <w:tc>
          <w:tcPr>
            <w:tcW w:w="8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5"/>
              </w:rPr>
              <w:t>115,826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208,574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The changes in the allowances are summarized as follows:</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13"/>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Allowances for doubtful accounts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Arial" w:cs="Arial" w:eastAsia="Arial" w:hAnsi="Arial"/>
                <w:sz w:val="18"/>
                <w:szCs w:val="18"/>
                <w:color w:val="auto"/>
              </w:rPr>
              <w:t>Balance, beginning of year</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645</w:t>
            </w:r>
          </w:p>
        </w:tc>
        <w:tc>
          <w:tcPr>
            <w:tcW w:w="680" w:type="dxa"/>
            <w:vAlign w:val="bottom"/>
            <w:gridSpan w:val="6"/>
          </w:tcPr>
          <w:p>
            <w:pPr>
              <w:jc w:val="right"/>
              <w:ind w:right="80"/>
              <w:spacing w:after="0"/>
              <w:rPr>
                <w:sz w:val="20"/>
                <w:szCs w:val="20"/>
                <w:color w:val="auto"/>
              </w:rPr>
            </w:pPr>
            <w:r>
              <w:rPr>
                <w:rFonts w:ascii="Arial" w:cs="Arial" w:eastAsia="Arial" w:hAnsi="Arial"/>
                <w:sz w:val="18"/>
                <w:szCs w:val="18"/>
                <w:color w:val="auto"/>
              </w:rPr>
              <w:t>1,617</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Additions (reversals) charged to expense, net</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1,164</w:t>
            </w:r>
          </w:p>
        </w:tc>
        <w:tc>
          <w:tcPr>
            <w:tcW w:w="6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740" w:type="dxa"/>
            <w:vAlign w:val="bottom"/>
            <w:gridSpan w:val="2"/>
          </w:tcPr>
          <w:p>
            <w:pPr>
              <w:ind w:left="360"/>
              <w:spacing w:after="0"/>
              <w:rPr>
                <w:sz w:val="20"/>
                <w:szCs w:val="20"/>
                <w:color w:val="auto"/>
              </w:rPr>
            </w:pPr>
            <w:r>
              <w:rPr>
                <w:rFonts w:ascii="Arial" w:cs="Arial" w:eastAsia="Arial" w:hAnsi="Arial"/>
                <w:sz w:val="18"/>
                <w:szCs w:val="18"/>
                <w:color w:val="auto"/>
              </w:rPr>
              <w:t>Write-offs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680" w:type="dxa"/>
            <w:vAlign w:val="bottom"/>
            <w:gridSpan w:val="6"/>
          </w:tcPr>
          <w:p>
            <w:pPr>
              <w:jc w:val="right"/>
              <w:ind w:right="20"/>
              <w:spacing w:after="0"/>
              <w:rPr>
                <w:sz w:val="20"/>
                <w:szCs w:val="20"/>
                <w:color w:val="auto"/>
              </w:rPr>
            </w:pPr>
            <w:r>
              <w:rPr>
                <w:rFonts w:ascii="Arial" w:cs="Arial" w:eastAsia="Arial" w:hAnsi="Arial"/>
                <w:sz w:val="18"/>
                <w:szCs w:val="18"/>
                <w:color w:val="auto"/>
              </w:rPr>
              <w:t>(71)</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Balance, end of year</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1,617</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1,561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INVENTORIES</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2"/>
          </w:tcPr>
          <w:p>
            <w:pPr>
              <w:ind w:left="440"/>
              <w:spacing w:after="0"/>
              <w:rPr>
                <w:sz w:val="20"/>
                <w:szCs w:val="20"/>
                <w:color w:val="auto"/>
              </w:rPr>
            </w:pPr>
            <w:r>
              <w:rPr>
                <w:rFonts w:ascii="Arial" w:cs="Arial" w:eastAsia="Arial" w:hAnsi="Arial"/>
                <w:sz w:val="18"/>
                <w:szCs w:val="18"/>
                <w:color w:val="auto"/>
              </w:rPr>
              <w:t>The components of inventories are as follows: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0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6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39,896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Work in process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55,988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56,146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67,062</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110,162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163,104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The Company wrote down US$9,085 thousand, US$6,883 thousand and US$5,689 thousand in 2019, 2020 and 2021, respectively, for obsolete or unmarketable inventory.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86"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LONG-TERM INVESTMENTS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and 2021, the Company held equity investments in several privately-held companies with the carrying value as follows: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3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11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500" w:type="dxa"/>
            <w:vAlign w:val="bottom"/>
          </w:tcPr>
          <w:p>
            <w:pPr>
              <w:spacing w:after="0"/>
              <w:rPr>
                <w:sz w:val="14"/>
                <w:szCs w:val="14"/>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of Ownership</w:t>
            </w:r>
          </w:p>
        </w:tc>
        <w:tc>
          <w:tcPr>
            <w:tcW w:w="1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gridSpan w:val="2"/>
          </w:tcPr>
          <w:p>
            <w:pPr>
              <w:spacing w:after="0"/>
              <w:rPr>
                <w:sz w:val="12"/>
                <w:szCs w:val="12"/>
                <w:color w:val="auto"/>
              </w:rPr>
            </w:pPr>
          </w:p>
        </w:tc>
        <w:tc>
          <w:tcPr>
            <w:tcW w:w="46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measured at cost: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Cashido Corp. (Cashido)</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Vastview Technology, Corp. (Vastview)</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Deep Vision, Inc (Deep Vision)</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5,000</w:t>
            </w: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6,500</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BIWIN Storage Technology Corp.(BIWIN)</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2,041</w:t>
            </w:r>
          </w:p>
        </w:tc>
        <w:tc>
          <w:tcPr>
            <w:tcW w:w="0" w:type="dxa"/>
            <w:vAlign w:val="bottom"/>
          </w:tcPr>
          <w:p>
            <w:pPr>
              <w:spacing w:after="0"/>
              <w:rPr>
                <w:sz w:val="1"/>
                <w:szCs w:val="1"/>
                <w:color w:val="auto"/>
              </w:rPr>
            </w:pPr>
          </w:p>
        </w:tc>
      </w:tr>
      <w:tr>
        <w:trPr>
          <w:trHeight w:val="223"/>
        </w:trPr>
        <w:tc>
          <w:tcPr>
            <w:tcW w:w="8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June 2018, the Company invested US$3,000 thousand in the preferred stock of Deep Vision which is accounted for under the cost method. Deep Vision is a developer of low-power deep-learning processors. In March 2020 and May 2021, the Company invested additional US$2,000 thousand and 1,500 thousand, respectively, in the preferred stock of Deep Vision.</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July 2021, the Company invested US$2,041 thousand in the common stock of BIWIN, which is accounted for under the cost method. BIWIN is a leading module maker in China focusing on solid state storage devices and is one of our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NONCURRENT ASSETS HELD FOR SALE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34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0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2"/>
                <w:szCs w:val="12"/>
                <w:color w:val="auto"/>
              </w:rPr>
            </w:pPr>
          </w:p>
        </w:tc>
      </w:tr>
      <w:tr>
        <w:trPr>
          <w:trHeight w:val="142"/>
        </w:trPr>
        <w:tc>
          <w:tcPr>
            <w:tcW w:w="7020" w:type="dxa"/>
            <w:vAlign w:val="bottom"/>
          </w:tcPr>
          <w:p>
            <w:pPr>
              <w:spacing w:after="0"/>
              <w:rPr>
                <w:sz w:val="12"/>
                <w:szCs w:val="12"/>
                <w:color w:val="auto"/>
              </w:rPr>
            </w:pPr>
          </w:p>
        </w:tc>
        <w:tc>
          <w:tcPr>
            <w:tcW w:w="56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gridSpan w:val="2"/>
          </w:tcPr>
          <w:p>
            <w:pPr>
              <w:spacing w:after="0"/>
              <w:rPr>
                <w:sz w:val="12"/>
                <w:szCs w:val="12"/>
                <w:color w:val="auto"/>
              </w:rPr>
            </w:pP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11,124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3"/>
        </w:trPr>
        <w:tc>
          <w:tcPr>
            <w:tcW w:w="70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11,124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Company vacated from premises in an office building located in Shanghai, China and in 2018 took actions to sell this property. The sale plan met all of the held-for-sale criteria in accordance with ASC 360 — Property, Plant and Equipment and accordingly, in 2018, the property was reclassified to noncurrent assets held for sale. Assets held for sale are measured at the lower of their carrying amount and fair value less cost to sell. Assets held for sale are no longer amortized or depreciated. The Company had continued to actively market the asset according to reasonable valuation benchmarks as of December 31, 2020. In 2021, the Company decided to lease the building and reclassified it to “Property and Equipment”. In January 2022, the Company entered into a three-year lease contract, which is classified as operating lease with a third party.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86"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PROPERTY AND EQUIPMENT</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9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7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Land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68,243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68,243</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18,130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30,006</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Machinery and equipment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35,555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44,128</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Furniture and fixtures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8,254</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Leasehold and buildings improvement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8,023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8,680</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33,528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41,621</w:t>
            </w:r>
          </w:p>
        </w:tc>
      </w:tr>
      <w:tr>
        <w:trPr>
          <w:trHeight w:val="230"/>
        </w:trPr>
        <w:tc>
          <w:tcPr>
            <w:tcW w:w="6420" w:type="dxa"/>
            <w:vAlign w:val="bottom"/>
          </w:tcPr>
          <w:p>
            <w:pPr>
              <w:ind w:left="7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171,334</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200,932</w:t>
            </w:r>
          </w:p>
        </w:tc>
        <w:tc>
          <w:tcPr>
            <w:tcW w:w="60" w:type="dxa"/>
            <w:vAlign w:val="bottom"/>
          </w:tcPr>
          <w:p>
            <w:pPr>
              <w:spacing w:after="0"/>
              <w:rPr>
                <w:sz w:val="20"/>
                <w:szCs w:val="20"/>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Buildings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4,033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5,840</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Machinery and equipment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28,567</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Furniture and fixtures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5,862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6,017</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and buildings improvement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7,156</w:t>
            </w: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Software</w:t>
            </w:r>
          </w:p>
        </w:tc>
        <w:tc>
          <w:tcPr>
            <w:tcW w:w="780" w:type="dxa"/>
            <w:vAlign w:val="bottom"/>
          </w:tcPr>
          <w:p>
            <w:pPr>
              <w:jc w:val="right"/>
              <w:spacing w:after="0"/>
              <w:rPr>
                <w:sz w:val="20"/>
                <w:szCs w:val="20"/>
                <w:color w:val="auto"/>
              </w:rPr>
            </w:pPr>
            <w:r>
              <w:rPr>
                <w:rFonts w:ascii="Arial" w:cs="Arial" w:eastAsia="Arial" w:hAnsi="Arial"/>
                <w:sz w:val="18"/>
                <w:szCs w:val="18"/>
                <w:color w:val="auto"/>
              </w:rPr>
              <w:t>27,293</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35,143</w:t>
            </w:r>
          </w:p>
        </w:tc>
      </w:tr>
      <w:tr>
        <w:trPr>
          <w:trHeight w:val="27"/>
        </w:trPr>
        <w:tc>
          <w:tcPr>
            <w:tcW w:w="6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82,723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Prepayment and construction in progress</w:t>
            </w: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6,269</w:t>
            </w:r>
          </w:p>
        </w:tc>
      </w:tr>
      <w:tr>
        <w:trPr>
          <w:trHeight w:val="27"/>
        </w:trPr>
        <w:tc>
          <w:tcPr>
            <w:tcW w:w="6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124,478</w:t>
            </w:r>
          </w:p>
        </w:tc>
      </w:tr>
      <w:tr>
        <w:trPr>
          <w:trHeight w:val="20"/>
        </w:trPr>
        <w:tc>
          <w:tcPr>
            <w:tcW w:w="6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April 2006, the Company leased a property located in Taipei, Taiwan to a third party. The lessee has been renewing annually and last renewed in March 2022. Net carrying value of the properties as of December 31, 2020 and 2021, was US$654 thousand and US$636 thousand, respectively. Annual rental income from the lease is US$47 thousand.</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September 2018, the Company paid US$58,931 thousand to acquire land in Hsinchu, Taiwan for its future Taiwan headquarters building. In January 2021, the Company broke ground at this site and began construction work.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GOODWILL AND ACQUIRED INTANGIBLE ASSETS</w:t>
      </w:r>
    </w:p>
    <w:p>
      <w:pPr>
        <w:spacing w:after="0" w:line="117" w:lineRule="exact"/>
        <w:rPr>
          <w:sz w:val="20"/>
          <w:szCs w:val="20"/>
          <w:color w:val="auto"/>
        </w:rPr>
      </w:pPr>
    </w:p>
    <w:p>
      <w:pPr>
        <w:ind w:left="120" w:right="640" w:firstLine="440"/>
        <w:spacing w:after="0" w:line="282"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The intangible assets acquired from the Company’s acquisition of Shannon Systems in 2015 and Bigtera in 2017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8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center"/>
              <w:ind w:right="1360"/>
              <w:spacing w:after="0" w:line="142" w:lineRule="exact"/>
              <w:rPr>
                <w:sz w:val="20"/>
                <w:szCs w:val="20"/>
                <w:color w:val="auto"/>
              </w:rPr>
            </w:pPr>
            <w:r>
              <w:rPr>
                <w:rFonts w:ascii="Arial" w:cs="Arial" w:eastAsia="Arial" w:hAnsi="Arial"/>
                <w:sz w:val="14"/>
                <w:szCs w:val="14"/>
                <w:b w:val="1"/>
                <w:bCs w:val="1"/>
                <w:color w:val="auto"/>
                <w:w w:val="95"/>
              </w:rPr>
              <w:t>US$</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Accumulated</w:t>
            </w:r>
          </w:p>
        </w:tc>
        <w:tc>
          <w:tcPr>
            <w:tcW w:w="400" w:type="dxa"/>
            <w:vAlign w:val="bottom"/>
          </w:tcPr>
          <w:p>
            <w:pPr>
              <w:spacing w:after="0"/>
              <w:rPr>
                <w:sz w:val="10"/>
                <w:szCs w:val="10"/>
                <w:color w:val="auto"/>
              </w:rPr>
            </w:pPr>
          </w:p>
        </w:tc>
        <w:tc>
          <w:tcPr>
            <w:tcW w:w="13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0"/>
              </w:rPr>
              <w:t>Accumulated</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Impairment</w:t>
            </w:r>
          </w:p>
        </w:tc>
        <w:tc>
          <w:tcPr>
            <w:tcW w:w="40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Amortization</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intangible assets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13,117</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Company assesses the impairment of intangible assets whenever events or changes in circumstances indicate that the carrying value may not be recoverable. In 2019, the Company determined that the carrying amounts for intangible assets of its Shannon reporting units exceeded its fair value, which was close to nil, and recorded impairment charges of US$255 thousand due to lower than projected business outlook. The impairment was measured based on a discounted cash flow method, which uses assumptions that are considered Level 3 within the fair value hierarchy due to the significant use of unobservable company specific information.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Amortization expense of acquisition-related intangible assets for the years ended December 31, 2019, 2020 and 2021 were US$766 thousand, nil and nil, respectively.</w:t>
      </w:r>
    </w:p>
    <w:p>
      <w:pPr>
        <w:spacing w:after="0" w:line="166"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Goodwill is not amortized, but instead is reviewed and tested for impairment at least annually and whenever events or circumstances</w:t>
      </w:r>
      <w:r>
        <w:rPr>
          <w:rFonts w:ascii="Arial" w:cs="Arial" w:eastAsia="Arial" w:hAnsi="Arial"/>
          <w:sz w:val="17"/>
          <w:szCs w:val="17"/>
          <w:b w:val="1"/>
          <w:bCs w:val="1"/>
          <w:color w:val="auto"/>
        </w:rPr>
        <w:t xml:space="preserve"> </w:t>
      </w:r>
      <w:r>
        <w:rPr>
          <w:rFonts w:ascii="Arial" w:cs="Arial" w:eastAsia="Arial" w:hAnsi="Arial"/>
          <w:sz w:val="17"/>
          <w:szCs w:val="17"/>
          <w:color w:val="auto"/>
        </w:rPr>
        <w:t>occur which indicate that goodwill might be impaired. Goodwill that resulted from the Company’s acquisition of Shannon Systems in 2015 and Bigtera in 2017 were US$33,204 thousand and US$625 thousand, respectively. Goodwill is tested for impairment annually on November 30. Total goodwill was nil as of December 31, 2020 after recognizing an impairment charge for the Shannon reporting unit.</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applied a one-step quantitative test and recorded the amount of goodwill impairment as the excess of a reporting unit’s carrying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amount over its fair value. Fair value determinations are sensitive to changes in the underlying assumptions and factors including those relating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estimating future operating cash flows to be generated from the reporting unit which are dependent upon historical data and internal forecasts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projections developed by management. Assumptions used to determine fair value used are classified as Level 3 within the fair value hierarchy due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use of unobservable company-specific information. As a result of the goodwill impairment tests conducted as of June 30,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30, 2019 and November 30, 2020, the Company determined that the carrying amounts for Shannon reporting unit exceeded the fair value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recorded goodwill impairment charges of US$15,715 thousand and US$17,489 thousand in the third quarter of 2019 and in the fourth quarter of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respectively. The Company used the discounted cash flow method to determine the fair value of the Shannon unit.</w:t>
      </w: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US$</w:t>
            </w: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Disposal of</w:t>
            </w: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Foreign</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26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FCI</w:t>
            </w: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3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Goodwill</w:t>
            </w: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00" w:type="dxa"/>
            <w:vAlign w:val="bottom"/>
            <w:vMerge w:val="continue"/>
            <w:shd w:val="clear" w:color="auto" w:fill="CCEEFF"/>
          </w:tcPr>
          <w:p>
            <w:pPr>
              <w:spacing w:after="0"/>
              <w:rPr>
                <w:sz w:val="24"/>
                <w:szCs w:val="24"/>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5"/>
              </w:rPr>
              <w:t>100,129</w:t>
            </w: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(25,117)</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(74,974)</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640" w:type="dxa"/>
            <w:vAlign w:val="bottom"/>
            <w:tcBorders>
              <w:right w:val="single" w:sz="8" w:color="CCEEFF"/>
            </w:tcBorders>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30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640" w:type="dxa"/>
            <w:vAlign w:val="bottom"/>
            <w:tcBorders>
              <w:right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SHORT-TERM BANK LOANS</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obtained US dollar bank revolver credit facilities and drew down $50,000 thousand in 2020. The loan was repaid in 2020. Interest rate was 0.78% per annum on the outstanding monthly balance.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interest expenses for the years ended December 31, 2019, 2020 and 2021 were nil, US$11 thousand and nil, respectively.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REFUND LIABILITIES</w:t>
      </w:r>
    </w:p>
    <w:p>
      <w:pPr>
        <w:spacing w:after="0" w:line="200" w:lineRule="exact"/>
        <w:rPr>
          <w:sz w:val="20"/>
          <w:szCs w:val="20"/>
          <w:color w:val="auto"/>
        </w:rPr>
      </w:pPr>
    </w:p>
    <w:p>
      <w:pPr>
        <w:spacing w:after="0" w:line="37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42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2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8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2,105</w:t>
            </w:r>
          </w:p>
        </w:tc>
        <w:tc>
          <w:tcPr>
            <w:tcW w:w="6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7"/>
              </w:rPr>
              <w:t>3,882</w:t>
            </w:r>
          </w:p>
        </w:tc>
        <w:tc>
          <w:tcPr>
            <w:tcW w:w="0" w:type="dxa"/>
            <w:vAlign w:val="bottom"/>
          </w:tcPr>
          <w:p>
            <w:pPr>
              <w:spacing w:after="0"/>
              <w:rPr>
                <w:sz w:val="1"/>
                <w:szCs w:val="1"/>
                <w:color w:val="auto"/>
              </w:rPr>
            </w:pPr>
          </w:p>
        </w:tc>
      </w:tr>
      <w:tr>
        <w:trPr>
          <w:trHeight w:val="108"/>
        </w:trPr>
        <w:tc>
          <w:tcPr>
            <w:tcW w:w="694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Estimated sales returns and other allowances are made and adjusted based on historical experience and the consideration of varying contractual terms.</w:t>
      </w: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86" w:right="439" w:bottom="1440" w:gutter="0" w:footer="0" w:header="0"/>
        </w:sectPr>
      </w:pPr>
    </w:p>
    <w:bookmarkStart w:id="86" w:name="page87"/>
    <w:bookmarkEnd w:id="86"/>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the refund liabilities are summarized as follows:</w:t>
      </w:r>
    </w:p>
    <w:p>
      <w:pPr>
        <w:spacing w:after="0" w:line="200" w:lineRule="exact"/>
        <w:rPr>
          <w:sz w:val="20"/>
          <w:szCs w:val="20"/>
          <w:color w:val="auto"/>
        </w:rPr>
      </w:pPr>
    </w:p>
    <w:p>
      <w:pPr>
        <w:spacing w:after="0" w:line="368" w:lineRule="exact"/>
        <w:rPr>
          <w:sz w:val="20"/>
          <w:szCs w:val="20"/>
          <w:color w:val="auto"/>
        </w:rPr>
      </w:pPr>
    </w:p>
    <w:p>
      <w:pPr>
        <w:jc w:val="right"/>
        <w:ind w:right="15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6350</wp:posOffset>
            </wp:positionV>
            <wp:extent cx="1191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jc w:val="both"/>
        <w:ind w:left="8040"/>
        <w:spacing w:after="0"/>
        <w:tabs>
          <w:tab w:leader="none" w:pos="9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-3175</wp:posOffset>
            </wp:positionV>
            <wp:extent cx="3943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-3175</wp:posOffset>
            </wp:positionV>
            <wp:extent cx="4540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ind w:left="8060"/>
        <w:spacing w:after="0"/>
        <w:tabs>
          <w:tab w:leader="none" w:pos="924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3"/>
          <w:szCs w:val="13"/>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-3175</wp:posOffset>
            </wp:positionV>
            <wp:extent cx="5314950" cy="3429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ectPr>
          <w:pgSz w:w="11900" w:h="16849" w:orient="portrait"/>
          <w:cols w:equalWidth="0" w:num="1">
            <w:col w:w="11060"/>
          </w:cols>
          <w:pgMar w:left="320" w:top="405" w:right="519" w:bottom="0" w:gutter="0" w:footer="0" w:header="0"/>
        </w:sectPr>
      </w:pPr>
    </w:p>
    <w:p>
      <w:pPr>
        <w:spacing w:after="0" w:line="19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Refund liabilities</w:t>
      </w:r>
    </w:p>
    <w:p>
      <w:pPr>
        <w:spacing w:after="0" w:line="33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83185</wp:posOffset>
            </wp:positionV>
            <wp:extent cx="5314950" cy="3429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pacing w:after="0" w:line="31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Additions</w:t>
      </w:r>
    </w:p>
    <w:p>
      <w:pPr>
        <w:spacing w:after="0" w:line="33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Actual sales return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306070</wp:posOffset>
            </wp:positionV>
            <wp:extent cx="5314950" cy="3429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Balance, end of year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677545</wp:posOffset>
            </wp:positionV>
            <wp:extent cx="5314950" cy="342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Wages and bonus</w:t>
      </w:r>
    </w:p>
    <w:p>
      <w:pPr>
        <w:spacing w:after="0" w:line="33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83185</wp:posOffset>
            </wp:positionV>
            <wp:extent cx="5314950" cy="342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pacing w:after="0" w:line="3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License fees and royalties</w:t>
      </w:r>
    </w:p>
    <w:p>
      <w:pPr>
        <w:spacing w:after="0" w:line="33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Research and development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83185</wp:posOffset>
            </wp:positionV>
            <wp:extent cx="5314950"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pacing w:after="0" w:line="3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Fixture</w:t>
      </w:r>
    </w:p>
    <w:p>
      <w:pPr>
        <w:spacing w:after="0" w:line="33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83185</wp:posOffset>
            </wp:positionV>
            <wp:extent cx="531495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pacing w:after="0" w:line="3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Lease liabilities – current portion</w:t>
      </w:r>
    </w:p>
    <w:p>
      <w:pPr>
        <w:spacing w:after="0" w:line="33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83185</wp:posOffset>
            </wp:positionV>
            <wp:extent cx="5314950" cy="342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5314950" cy="342900"/>
                    </a:xfrm>
                    <a:prstGeom prst="rect">
                      <a:avLst/>
                    </a:prstGeom>
                    <a:noFill/>
                  </pic:spPr>
                </pic:pic>
              </a:graphicData>
            </a:graphic>
          </wp:anchor>
        </w:drawing>
      </w:r>
    </w:p>
    <w:p>
      <w:pPr>
        <w:spacing w:after="0" w:line="3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Professional fees</w:t>
      </w:r>
    </w:p>
    <w:p>
      <w:pPr>
        <w:spacing w:after="0" w:line="33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306070</wp:posOffset>
            </wp:positionV>
            <wp:extent cx="531495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PENSION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color w:val="auto"/>
        </w:rPr>
        <w:t>2,260</w:t>
      </w:r>
      <w:r>
        <w:rPr>
          <w:sz w:val="20"/>
          <w:szCs w:val="20"/>
          <w:color w:val="auto"/>
        </w:rPr>
        <w:tab/>
      </w:r>
      <w:r>
        <w:rPr>
          <w:rFonts w:ascii="Arial" w:cs="Arial" w:eastAsia="Arial" w:hAnsi="Arial"/>
          <w:sz w:val="18"/>
          <w:szCs w:val="18"/>
          <w:color w:val="auto"/>
        </w:rPr>
        <w:t>2,105</w:t>
      </w:r>
    </w:p>
    <w:p>
      <w:pPr>
        <w:spacing w:after="0" w:line="333"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8"/>
          <w:szCs w:val="18"/>
          <w:color w:val="auto"/>
        </w:rPr>
        <w:t>10,576</w:t>
      </w:r>
      <w:r>
        <w:rPr>
          <w:sz w:val="20"/>
          <w:szCs w:val="20"/>
          <w:color w:val="auto"/>
        </w:rPr>
        <w:tab/>
      </w:r>
      <w:r>
        <w:rPr>
          <w:rFonts w:ascii="Arial" w:cs="Arial" w:eastAsia="Arial" w:hAnsi="Arial"/>
          <w:sz w:val="18"/>
          <w:szCs w:val="18"/>
          <w:color w:val="auto"/>
        </w:rPr>
        <w:t>9,825</w:t>
      </w:r>
    </w:p>
    <w:p>
      <w:pPr>
        <w:spacing w:after="0" w:line="333" w:lineRule="exact"/>
        <w:rPr>
          <w:sz w:val="20"/>
          <w:szCs w:val="20"/>
          <w:color w:val="auto"/>
        </w:rPr>
      </w:pPr>
    </w:p>
    <w:p>
      <w:pPr>
        <w:ind w:left="200"/>
        <w:spacing w:after="0"/>
        <w:tabs>
          <w:tab w:leader="none" w:pos="1440" w:val="left"/>
        </w:tabs>
        <w:rPr>
          <w:sz w:val="20"/>
          <w:szCs w:val="20"/>
          <w:color w:val="auto"/>
        </w:rPr>
      </w:pPr>
      <w:r>
        <w:rPr>
          <w:rFonts w:ascii="Arial" w:cs="Arial" w:eastAsia="Arial" w:hAnsi="Arial"/>
          <w:sz w:val="16"/>
          <w:szCs w:val="16"/>
          <w:color w:val="auto"/>
        </w:rPr>
        <w:t>(10,731)</w:t>
      </w:r>
      <w:r>
        <w:rPr>
          <w:sz w:val="20"/>
          <w:szCs w:val="20"/>
          <w:color w:val="auto"/>
        </w:rPr>
        <w:tab/>
      </w:r>
      <w:r>
        <w:rPr>
          <w:rFonts w:ascii="Arial" w:cs="Arial" w:eastAsia="Arial" w:hAnsi="Arial"/>
          <w:sz w:val="16"/>
          <w:szCs w:val="16"/>
          <w:color w:val="auto"/>
        </w:rPr>
        <w:t>(8,048)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166370</wp:posOffset>
            </wp:positionV>
            <wp:extent cx="4540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166370</wp:posOffset>
            </wp:positionV>
            <wp:extent cx="3943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color w:val="auto"/>
        </w:rPr>
        <w:t>2,105</w:t>
      </w:r>
      <w:r>
        <w:rPr>
          <w:sz w:val="20"/>
          <w:szCs w:val="20"/>
          <w:color w:val="auto"/>
        </w:rPr>
        <w:tab/>
      </w:r>
      <w:r>
        <w:rPr>
          <w:rFonts w:ascii="Arial" w:cs="Arial" w:eastAsia="Arial" w:hAnsi="Arial"/>
          <w:sz w:val="18"/>
          <w:szCs w:val="18"/>
          <w:color w:val="auto"/>
        </w:rPr>
        <w:t>3,882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151765</wp:posOffset>
            </wp:positionV>
            <wp:extent cx="4540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168910</wp:posOffset>
            </wp:positionV>
            <wp:extent cx="4540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151765</wp:posOffset>
            </wp:positionV>
            <wp:extent cx="3943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168910</wp:posOffset>
            </wp:positionV>
            <wp:extent cx="3943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w w:val="96"/>
              </w:rPr>
              <w:t>2020</w:t>
            </w:r>
          </w:p>
        </w:tc>
        <w:tc>
          <w:tcPr>
            <w:tcW w:w="1400" w:type="dxa"/>
            <w:vAlign w:val="bottom"/>
            <w:gridSpan w:val="3"/>
          </w:tcPr>
          <w:p>
            <w:pPr>
              <w:ind w:left="860"/>
              <w:spacing w:after="0" w:line="142" w:lineRule="exact"/>
              <w:rPr>
                <w:sz w:val="20"/>
                <w:szCs w:val="20"/>
                <w:color w:val="auto"/>
              </w:rPr>
            </w:pPr>
            <w:r>
              <w:rPr>
                <w:rFonts w:ascii="Arial" w:cs="Arial" w:eastAsia="Arial" w:hAnsi="Arial"/>
                <w:sz w:val="14"/>
                <w:szCs w:val="14"/>
                <w:b w:val="1"/>
                <w:bCs w:val="1"/>
                <w:color w:val="auto"/>
              </w:rPr>
              <w:t>2021</w:t>
            </w:r>
          </w:p>
        </w:tc>
      </w:tr>
      <w:tr>
        <w:trPr>
          <w:trHeight w:val="180"/>
        </w:trPr>
        <w:tc>
          <w:tcPr>
            <w:tcW w:w="56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US$</w:t>
            </w:r>
          </w:p>
        </w:tc>
      </w:tr>
    </w:tbl>
    <w:p>
      <w:pPr>
        <w:spacing w:after="0" w:line="272" w:lineRule="exact"/>
        <w:rPr>
          <w:sz w:val="20"/>
          <w:szCs w:val="20"/>
          <w:color w:val="auto"/>
        </w:rPr>
      </w:pPr>
    </w:p>
    <w:p>
      <w:pPr>
        <w:ind w:left="280"/>
        <w:spacing w:after="0"/>
        <w:tabs>
          <w:tab w:leader="none" w:pos="1440" w:val="left"/>
        </w:tabs>
        <w:rPr>
          <w:sz w:val="20"/>
          <w:szCs w:val="20"/>
          <w:color w:val="auto"/>
        </w:rPr>
      </w:pPr>
      <w:r>
        <w:rPr>
          <w:rFonts w:ascii="Arial" w:cs="Arial" w:eastAsia="Arial" w:hAnsi="Arial"/>
          <w:sz w:val="17"/>
          <w:szCs w:val="17"/>
          <w:color w:val="auto"/>
        </w:rPr>
        <w:t>35,027</w:t>
      </w:r>
      <w:r>
        <w:rPr>
          <w:sz w:val="20"/>
          <w:szCs w:val="20"/>
          <w:color w:val="auto"/>
        </w:rPr>
        <w:tab/>
      </w:r>
      <w:r>
        <w:rPr>
          <w:rFonts w:ascii="Arial" w:cs="Arial" w:eastAsia="Arial" w:hAnsi="Arial"/>
          <w:sz w:val="17"/>
          <w:szCs w:val="17"/>
          <w:color w:val="auto"/>
        </w:rPr>
        <w:t>53,677</w:t>
      </w:r>
    </w:p>
    <w:p>
      <w:pPr>
        <w:spacing w:after="0" w:line="345" w:lineRule="exact"/>
        <w:rPr>
          <w:sz w:val="20"/>
          <w:szCs w:val="20"/>
          <w:color w:val="auto"/>
        </w:rPr>
      </w:pPr>
    </w:p>
    <w:p>
      <w:pPr>
        <w:ind w:left="280"/>
        <w:spacing w:after="0"/>
        <w:tabs>
          <w:tab w:leader="none" w:pos="1440" w:val="left"/>
        </w:tabs>
        <w:rPr>
          <w:sz w:val="20"/>
          <w:szCs w:val="20"/>
          <w:color w:val="auto"/>
        </w:rPr>
      </w:pPr>
      <w:r>
        <w:rPr>
          <w:rFonts w:ascii="Arial" w:cs="Arial" w:eastAsia="Arial" w:hAnsi="Arial"/>
          <w:sz w:val="17"/>
          <w:szCs w:val="17"/>
          <w:color w:val="auto"/>
        </w:rPr>
        <w:t>36,764</w:t>
      </w:r>
      <w:r>
        <w:rPr>
          <w:sz w:val="20"/>
          <w:szCs w:val="20"/>
          <w:color w:val="auto"/>
        </w:rPr>
        <w:tab/>
      </w:r>
      <w:r>
        <w:rPr>
          <w:rFonts w:ascii="Arial" w:cs="Arial" w:eastAsia="Arial" w:hAnsi="Arial"/>
          <w:sz w:val="17"/>
          <w:szCs w:val="17"/>
          <w:color w:val="auto"/>
        </w:rPr>
        <w:t>52,175</w:t>
      </w:r>
    </w:p>
    <w:p>
      <w:pPr>
        <w:spacing w:after="0" w:line="345"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7"/>
          <w:szCs w:val="17"/>
          <w:color w:val="auto"/>
        </w:rPr>
        <w:t>9,034</w:t>
      </w:r>
      <w:r>
        <w:rPr>
          <w:sz w:val="20"/>
          <w:szCs w:val="20"/>
          <w:color w:val="auto"/>
        </w:rPr>
        <w:tab/>
      </w:r>
      <w:r>
        <w:rPr>
          <w:rFonts w:ascii="Arial" w:cs="Arial" w:eastAsia="Arial" w:hAnsi="Arial"/>
          <w:sz w:val="17"/>
          <w:szCs w:val="17"/>
          <w:color w:val="auto"/>
        </w:rPr>
        <w:t>10,066</w:t>
      </w:r>
    </w:p>
    <w:p>
      <w:pPr>
        <w:spacing w:after="0" w:line="345"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6"/>
          <w:szCs w:val="16"/>
          <w:color w:val="auto"/>
        </w:rPr>
        <w:t>6,722</w:t>
      </w:r>
      <w:r>
        <w:rPr>
          <w:sz w:val="20"/>
          <w:szCs w:val="20"/>
          <w:color w:val="auto"/>
        </w:rPr>
        <w:tab/>
      </w:r>
      <w:r>
        <w:rPr>
          <w:rFonts w:ascii="Arial" w:cs="Arial" w:eastAsia="Arial" w:hAnsi="Arial"/>
          <w:sz w:val="16"/>
          <w:szCs w:val="16"/>
          <w:color w:val="auto"/>
        </w:rPr>
        <w:t>6,949</w:t>
      </w:r>
    </w:p>
    <w:p>
      <w:pPr>
        <w:spacing w:after="0" w:line="356" w:lineRule="exact"/>
        <w:rPr>
          <w:sz w:val="20"/>
          <w:szCs w:val="20"/>
          <w:color w:val="auto"/>
        </w:rPr>
      </w:pPr>
    </w:p>
    <w:p>
      <w:pPr>
        <w:ind w:left="1560" w:hanging="1056"/>
        <w:spacing w:after="0"/>
        <w:tabs>
          <w:tab w:leader="none" w:pos="1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6,471</w:t>
      </w:r>
    </w:p>
    <w:p>
      <w:pPr>
        <w:spacing w:after="0" w:line="35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4,315</w:t>
      </w:r>
    </w:p>
    <w:p>
      <w:pPr>
        <w:spacing w:after="0" w:line="333"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6"/>
          <w:szCs w:val="16"/>
          <w:color w:val="auto"/>
        </w:rPr>
        <w:t>3,058</w:t>
      </w:r>
      <w:r>
        <w:rPr>
          <w:sz w:val="20"/>
          <w:szCs w:val="20"/>
          <w:color w:val="auto"/>
        </w:rPr>
        <w:tab/>
      </w:r>
      <w:r>
        <w:rPr>
          <w:rFonts w:ascii="Arial" w:cs="Arial" w:eastAsia="Arial" w:hAnsi="Arial"/>
          <w:sz w:val="16"/>
          <w:szCs w:val="16"/>
          <w:color w:val="auto"/>
        </w:rPr>
        <w:t>2,899</w:t>
      </w:r>
    </w:p>
    <w:p>
      <w:pPr>
        <w:spacing w:after="0" w:line="356"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6"/>
          <w:szCs w:val="16"/>
          <w:color w:val="auto"/>
        </w:rPr>
        <w:t>2,145</w:t>
      </w:r>
      <w:r>
        <w:rPr>
          <w:sz w:val="20"/>
          <w:szCs w:val="20"/>
          <w:color w:val="auto"/>
        </w:rPr>
        <w:tab/>
      </w:r>
      <w:r>
        <w:rPr>
          <w:rFonts w:ascii="Arial" w:cs="Arial" w:eastAsia="Arial" w:hAnsi="Arial"/>
          <w:sz w:val="16"/>
          <w:szCs w:val="16"/>
          <w:color w:val="auto"/>
        </w:rPr>
        <w:t>2,739</w:t>
      </w:r>
    </w:p>
    <w:p>
      <w:pPr>
        <w:spacing w:after="0" w:line="356"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6"/>
          <w:szCs w:val="16"/>
          <w:color w:val="auto"/>
        </w:rPr>
        <w:t>1,869</w:t>
      </w:r>
      <w:r>
        <w:rPr>
          <w:sz w:val="20"/>
          <w:szCs w:val="20"/>
          <w:color w:val="auto"/>
        </w:rPr>
        <w:tab/>
      </w:r>
      <w:r>
        <w:rPr>
          <w:rFonts w:ascii="Arial" w:cs="Arial" w:eastAsia="Arial" w:hAnsi="Arial"/>
          <w:sz w:val="16"/>
          <w:szCs w:val="16"/>
          <w:color w:val="auto"/>
        </w:rPr>
        <w:t>1,994</w:t>
      </w:r>
    </w:p>
    <w:p>
      <w:pPr>
        <w:spacing w:after="0" w:line="356"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6"/>
          <w:szCs w:val="16"/>
          <w:color w:val="auto"/>
        </w:rPr>
        <w:t>9,832</w:t>
      </w:r>
      <w:r>
        <w:rPr>
          <w:sz w:val="20"/>
          <w:szCs w:val="20"/>
          <w:color w:val="auto"/>
        </w:rPr>
        <w:tab/>
      </w:r>
      <w:r>
        <w:rPr>
          <w:rFonts w:ascii="Arial" w:cs="Arial" w:eastAsia="Arial" w:hAnsi="Arial"/>
          <w:sz w:val="16"/>
          <w:szCs w:val="16"/>
          <w:color w:val="auto"/>
        </w:rPr>
        <w:t>11,383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12433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3" w:lineRule="exact"/>
        <w:rPr>
          <w:sz w:val="20"/>
          <w:szCs w:val="20"/>
          <w:color w:val="auto"/>
        </w:rPr>
      </w:pPr>
    </w:p>
    <w:p>
      <w:pPr>
        <w:ind w:left="180"/>
        <w:spacing w:after="0"/>
        <w:tabs>
          <w:tab w:leader="none" w:pos="1360" w:val="left"/>
        </w:tabs>
        <w:rPr>
          <w:sz w:val="20"/>
          <w:szCs w:val="20"/>
          <w:color w:val="auto"/>
        </w:rPr>
      </w:pPr>
      <w:r>
        <w:rPr>
          <w:rFonts w:ascii="Arial" w:cs="Arial" w:eastAsia="Arial" w:hAnsi="Arial"/>
          <w:sz w:val="16"/>
          <w:szCs w:val="16"/>
          <w:color w:val="auto"/>
        </w:rPr>
        <w:t>105,218</w:t>
      </w:r>
      <w:r>
        <w:rPr>
          <w:sz w:val="20"/>
          <w:szCs w:val="20"/>
          <w:color w:val="auto"/>
        </w:rPr>
        <w:tab/>
      </w:r>
      <w:r>
        <w:rPr>
          <w:rFonts w:ascii="Arial" w:cs="Arial" w:eastAsia="Arial" w:hAnsi="Arial"/>
          <w:sz w:val="16"/>
          <w:szCs w:val="16"/>
          <w:color w:val="auto"/>
        </w:rPr>
        <w:t>152,668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124333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1243330" cy="25400"/>
                    </a:xfrm>
                    <a:prstGeom prst="rect">
                      <a:avLst/>
                    </a:prstGeom>
                    <a:noFill/>
                  </pic:spPr>
                </pic:pic>
              </a:graphicData>
            </a:graphic>
          </wp:anchor>
        </w:drawing>
      </w:r>
    </w:p>
    <w:p>
      <w:pPr>
        <w:spacing w:after="0" w:line="1028" w:lineRule="exact"/>
        <w:rPr>
          <w:sz w:val="20"/>
          <w:szCs w:val="20"/>
          <w:color w:val="auto"/>
        </w:rPr>
      </w:pPr>
    </w:p>
    <w:p>
      <w:pPr>
        <w:sectPr>
          <w:pgSz w:w="11900" w:h="16849" w:orient="portrait"/>
          <w:cols w:equalWidth="0" w:num="2">
            <w:col w:w="7060" w:space="720"/>
            <w:col w:w="3280"/>
          </w:cols>
          <w:pgMar w:left="320" w:top="405" w:right="519" w:bottom="0" w:gutter="0" w:footer="0" w:header="0"/>
          <w:type w:val="continuous"/>
        </w:sectPr>
      </w:pPr>
    </w:p>
    <w:p>
      <w:pPr>
        <w:spacing w:after="0" w:line="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SMI Taiwan, the Company’s largest operating company, is a Taiwan registered company and subject to Taiwan’s Labor Pension Act (the “New Act”), which became effective on July 1, 2005, and the pension mechanism under the New Act is deemed a defined contribution plan. The employees who were subject to the Labor Standards Law prior to July 1, 2005 (the “Old Act”) could choose to be subject to the pension mechanism under the New Act or continue to be subject to the pension mechanism under the Old Act. For those employees who were subject to the Old Act and still work for the same company after July 1, 2005 and have chosen to be subject to the Old Act, their seniority as of July 1, 2005 were maintained. The New Act prescribes that the rate of contribution by an employer to employees’ pension accounts per month will not be less than 6% of each employee’s monthly salary. According to the Act, SMI Taiwan made monthly contributions and recognized pension costs of US$1,783 thousand, US$2,109 thousand and US$2,652 thousand for the years ended December 31, 2019, 2020 and 2021, respectively.</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provides a defined benefit plan to the employees of SMI Taiwan under the Old Act that offers benefits based on an employee’s length of service and average monthly salary for the six-month period prior to retirement. The Company contributes an amount equal to 2% of salaries paid each month to a pension funds (the “Funds”), which is administered by the Labor Pension Fund Supervisory Committee established by the</w:t>
      </w:r>
    </w:p>
    <w:p>
      <w:pPr>
        <w:sectPr>
          <w:pgSz w:w="11900" w:h="16849" w:orient="portrait"/>
          <w:cols w:equalWidth="0" w:num="1">
            <w:col w:w="11060"/>
          </w:cols>
          <w:pgMar w:left="320" w:top="405" w:right="519" w:bottom="0" w:gutter="0" w:footer="0" w:header="0"/>
          <w:type w:val="continuous"/>
        </w:sectPr>
      </w:pPr>
    </w:p>
    <w:bookmarkStart w:id="87" w:name="page88"/>
    <w:bookmarkEnd w:id="87"/>
    <w:p>
      <w:pPr>
        <w:spacing w:after="0" w:line="311" w:lineRule="auto"/>
        <w:rPr>
          <w:sz w:val="20"/>
          <w:szCs w:val="20"/>
          <w:color w:val="auto"/>
        </w:rPr>
      </w:pPr>
      <w:r>
        <w:rPr>
          <w:rFonts w:ascii="Arial" w:cs="Arial" w:eastAsia="Arial" w:hAnsi="Arial"/>
          <w:sz w:val="16"/>
          <w:szCs w:val="16"/>
          <w:color w:val="auto"/>
        </w:rPr>
        <w:t>government (the “Committee”) and deposited in the Committee’s name in the Bank of Taiwan. Before the end of each year, the Company assesses the balance in the Funds. If the amount of the balance in the Funds is inadequate to pay retirement benefit for employees who conform to retirement requirements in the next year, the Company is required to fund the difference in one appropriation that should be made before the end of March of</w:t>
      </w: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800"/>
          </w:cols>
          <w:pgMar w:left="440" w:top="125" w:right="6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2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next year. The government is responsible for the administration of all the defined benefit plans for the companies in Taiwan under the Old Act. The government also sets investment policies and strategies, determines investment allocation and selects investment managers. As of December 31, 2020 and 2021, the asset allocation was primarily in cash, equity securities and debt securities. Furthermore, under the Old Act, the rate of return on assets shall not be less than the average interest rate on a two-year time deposit published by the local banks. The government is responsible for any shortfall in the event that the rate of return is less than the required rate of return. However, information on how investment allocation decisions are made, inputs and valuation techniques used to measure the fair value of plan assets, the effect of fair value measurements using significant unobservable inputs on changes in plan assets for the period and significant concentrations of risk within plan assets is not fully available to the Company. Therefore, the Company is unable to provide the required fair value disclosures related to pension plan assets. Future contributions will be based on 2% of the employees’ annual salaries. The Company estimates its contribution for the year ending December 31, 2022 to be US$70 thousand, which was determined based on 2% of estimated salaries in 2022.</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Starting in 2010, the Company provides a defined benefit pension plan to the Korean employees of FCI with at least one year of service. FCI’s overall investment strategy is to avoid a negative return on plan assets. On May 31, 2019, the Company divested FCI.</w:t>
      </w:r>
    </w:p>
    <w:p>
      <w:pPr>
        <w:spacing w:after="0" w:line="170"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For employees under defined contribution pension plans, pension costs are recorded based on the actual contributions made to employees’ individual pension accounts. For employees under defined benefit pension plans, pension costs are recorded based on actuarial calculations. Determining the cost associated with such benefits is dependent on various actuarial assumptions, including discount rate, expected return on plan assets, compensation increase, employee mortality and turnover rates. The Company reviewed its actuarial assumptions at the measurement date on December 31 every year. The effect of modifications to assumptions is recorded in accumulated other comprehensive loss and amortized to net periodic cost over future periods using the corridor method. The Company believes that assumptions utilized in recording its obligations under its plans are reasonable based on its experience and market conditions. Independent actuaries perform the required calculations to determine expense in accordance with U.S. GAAP. Actual results may differ from the actuarial assumptions and are generally accumulated and amortized into earnings over future periods. The net periodic costs are recognized as employees render services necessary to earn the benefits.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05"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benefits obligation and plan assets and the reconciliation of funded status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460" w:type="dxa"/>
            <w:vAlign w:val="bottom"/>
            <w:gridSpan w:val="2"/>
          </w:tcPr>
          <w:p>
            <w:pPr>
              <w:jc w:val="right"/>
              <w:ind w:right="35"/>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Projected benefit obligation at beginning of year</w:t>
            </w:r>
          </w:p>
        </w:tc>
        <w:tc>
          <w:tcPr>
            <w:tcW w:w="720" w:type="dxa"/>
            <w:vAlign w:val="bottom"/>
            <w:gridSpan w:val="4"/>
          </w:tcPr>
          <w:p>
            <w:pPr>
              <w:jc w:val="right"/>
              <w:ind w:right="128"/>
              <w:spacing w:after="0"/>
              <w:rPr>
                <w:sz w:val="20"/>
                <w:szCs w:val="20"/>
                <w:color w:val="auto"/>
              </w:rPr>
            </w:pPr>
            <w:r>
              <w:rPr>
                <w:rFonts w:ascii="Arial" w:cs="Arial" w:eastAsia="Arial" w:hAnsi="Arial"/>
                <w:sz w:val="18"/>
                <w:szCs w:val="18"/>
                <w:color w:val="auto"/>
              </w:rPr>
              <w:t>5,838</w:t>
            </w:r>
          </w:p>
        </w:tc>
        <w:tc>
          <w:tcPr>
            <w:tcW w:w="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1,754</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7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Interest cost</w:t>
            </w:r>
          </w:p>
        </w:tc>
        <w:tc>
          <w:tcPr>
            <w:tcW w:w="720" w:type="dxa"/>
            <w:vAlign w:val="bottom"/>
            <w:gridSpan w:val="4"/>
          </w:tcPr>
          <w:p>
            <w:pPr>
              <w:jc w:val="right"/>
              <w:ind w:right="128"/>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 (gain)</w:t>
            </w:r>
          </w:p>
        </w:tc>
        <w:tc>
          <w:tcPr>
            <w:tcW w:w="7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Benefits paid</w:t>
            </w:r>
          </w:p>
        </w:tc>
        <w:tc>
          <w:tcPr>
            <w:tcW w:w="720" w:type="dxa"/>
            <w:vAlign w:val="bottom"/>
            <w:gridSpan w:val="4"/>
          </w:tcPr>
          <w:p>
            <w:pPr>
              <w:jc w:val="right"/>
              <w:ind w:right="68"/>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Disposal of subsidiary</w:t>
            </w:r>
          </w:p>
        </w:tc>
        <w:tc>
          <w:tcPr>
            <w:tcW w:w="72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w w:val="98"/>
              </w:rPr>
              <w:t>(4,072)</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Projected benefit obligation at end of year</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1,716</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1,803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Fair value of plan assets at beginning of year</w:t>
            </w:r>
          </w:p>
        </w:tc>
        <w:tc>
          <w:tcPr>
            <w:tcW w:w="720" w:type="dxa"/>
            <w:vAlign w:val="bottom"/>
            <w:gridSpan w:val="4"/>
          </w:tcPr>
          <w:p>
            <w:pPr>
              <w:jc w:val="right"/>
              <w:ind w:right="128"/>
              <w:spacing w:after="0"/>
              <w:rPr>
                <w:sz w:val="20"/>
                <w:szCs w:val="20"/>
                <w:color w:val="auto"/>
              </w:rPr>
            </w:pPr>
            <w:r>
              <w:rPr>
                <w:rFonts w:ascii="Arial" w:cs="Arial" w:eastAsia="Arial" w:hAnsi="Arial"/>
                <w:sz w:val="18"/>
                <w:szCs w:val="18"/>
                <w:color w:val="auto"/>
              </w:rPr>
              <w:t>5,410</w:t>
            </w:r>
          </w:p>
        </w:tc>
        <w:tc>
          <w:tcPr>
            <w:tcW w:w="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1,487</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Actual return on plan assets</w:t>
            </w:r>
          </w:p>
        </w:tc>
        <w:tc>
          <w:tcPr>
            <w:tcW w:w="7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Employer contributions</w:t>
            </w:r>
          </w:p>
        </w:tc>
        <w:tc>
          <w:tcPr>
            <w:tcW w:w="720" w:type="dxa"/>
            <w:vAlign w:val="bottom"/>
            <w:gridSpan w:val="4"/>
          </w:tcPr>
          <w:p>
            <w:pPr>
              <w:jc w:val="right"/>
              <w:ind w:right="128"/>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49</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72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Disposal of subsidiary</w:t>
            </w:r>
          </w:p>
        </w:tc>
        <w:tc>
          <w:tcPr>
            <w:tcW w:w="720" w:type="dxa"/>
            <w:vAlign w:val="bottom"/>
            <w:gridSpan w:val="4"/>
          </w:tcPr>
          <w:p>
            <w:pPr>
              <w:jc w:val="right"/>
              <w:ind w:right="68"/>
              <w:spacing w:after="0"/>
              <w:rPr>
                <w:sz w:val="20"/>
                <w:szCs w:val="20"/>
                <w:color w:val="auto"/>
              </w:rPr>
            </w:pPr>
            <w:r>
              <w:rPr>
                <w:rFonts w:ascii="Arial" w:cs="Arial" w:eastAsia="Arial" w:hAnsi="Arial"/>
                <w:sz w:val="18"/>
                <w:szCs w:val="18"/>
                <w:color w:val="auto"/>
                <w:w w:val="98"/>
              </w:rPr>
              <w:t>(3,658)</w:t>
            </w:r>
          </w:p>
        </w:tc>
        <w:tc>
          <w:tcPr>
            <w:tcW w:w="20" w:type="dxa"/>
            <w:vAlign w:val="bottom"/>
          </w:tcPr>
          <w:p>
            <w:pPr>
              <w:spacing w:after="0"/>
              <w:rPr>
                <w:sz w:val="18"/>
                <w:szCs w:val="18"/>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Fair value of plan assets at end of year</w:t>
            </w:r>
          </w:p>
        </w:tc>
        <w:tc>
          <w:tcPr>
            <w:tcW w:w="7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1,487</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1,551</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Funded status recognized as an other liabilities</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ind w:left="440"/>
              <w:spacing w:after="0"/>
              <w:rPr>
                <w:sz w:val="20"/>
                <w:szCs w:val="20"/>
                <w:color w:val="auto"/>
              </w:rPr>
            </w:pPr>
            <w:r>
              <w:rPr>
                <w:rFonts w:ascii="Arial" w:cs="Arial" w:eastAsia="Arial" w:hAnsi="Arial"/>
                <w:sz w:val="18"/>
                <w:szCs w:val="18"/>
                <w:color w:val="auto"/>
              </w:rPr>
              <w:t>Amounts recognized in accumulated other comprehensive income consist of the following:</w:t>
            </w: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12"/>
          </w:tcPr>
          <w:p>
            <w:pPr>
              <w:jc w:val="center"/>
              <w:ind w:right="12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2019</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380" w:type="dxa"/>
            <w:vAlign w:val="bottom"/>
            <w:gridSpan w:val="3"/>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recognized in accumulated other comprehensive income</w:t>
            </w: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754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US$939 thousand, US$1,008 thousand and US$1,085 thousand at December 31, 2019, 2020 and 2021,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2"/>
              </w:rPr>
              <w:t>Year Ended December 31</w:t>
            </w: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4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Interest cost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Projected return on plan assets</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Amortization of unrecognized net transition obligation and unrecognized net actuarial gain</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440"/>
              <w:spacing w:after="0"/>
              <w:rPr>
                <w:sz w:val="20"/>
                <w:szCs w:val="20"/>
                <w:color w:val="auto"/>
              </w:rPr>
            </w:pPr>
            <w:r>
              <w:rPr>
                <w:rFonts w:ascii="Arial" w:cs="Arial" w:eastAsia="Arial" w:hAnsi="Arial"/>
                <w:sz w:val="18"/>
                <w:szCs w:val="18"/>
                <w:color w:val="auto"/>
              </w:rPr>
              <w:t>Other changes in plan assets and benefit obligation recognized in other comprehensive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US$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Recognized decrease in net gain (loss)</w:t>
            </w:r>
          </w:p>
        </w:tc>
        <w:tc>
          <w:tcPr>
            <w:tcW w:w="8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820" w:type="dxa"/>
            <w:vAlign w:val="bottom"/>
          </w:tcPr>
          <w:p>
            <w:pPr>
              <w:ind w:left="360"/>
              <w:spacing w:after="0"/>
              <w:rPr>
                <w:sz w:val="20"/>
                <w:szCs w:val="20"/>
                <w:color w:val="auto"/>
              </w:rPr>
            </w:pPr>
            <w:r>
              <w:rPr>
                <w:rFonts w:ascii="Arial" w:cs="Arial" w:eastAsia="Arial" w:hAnsi="Arial"/>
                <w:sz w:val="18"/>
                <w:szCs w:val="18"/>
                <w:color w:val="auto"/>
              </w:rPr>
              <w:t>Total recognized in other comprehensive loss (income)</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ind w:left="5340"/>
              <w:spacing w:after="0"/>
              <w:rPr>
                <w:sz w:val="20"/>
                <w:szCs w:val="20"/>
                <w:color w:val="auto"/>
              </w:rPr>
            </w:pPr>
            <w:r>
              <w:rPr>
                <w:rFonts w:ascii="Arial" w:cs="Arial" w:eastAsia="Arial" w:hAnsi="Arial"/>
                <w:sz w:val="18"/>
                <w:szCs w:val="18"/>
                <w:color w:val="auto"/>
              </w:rPr>
              <w:t>F-22</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estimated net gain for the defined benefit pension plans that will be amortized from accumulated other comprehensive income into net periodic benefit cost over the next fiscal year is US$38 thousand.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Expected benefit payments: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220" w:type="dxa"/>
            <w:vAlign w:val="bottom"/>
          </w:tcPr>
          <w:p>
            <w:pPr>
              <w:jc w:val="right"/>
              <w:ind w:right="13"/>
              <w:spacing w:after="0"/>
              <w:rPr>
                <w:sz w:val="20"/>
                <w:szCs w:val="20"/>
                <w:color w:val="auto"/>
              </w:rPr>
            </w:pPr>
            <w:r>
              <w:rPr>
                <w:rFonts w:ascii="Arial" w:cs="Arial" w:eastAsia="Arial" w:hAnsi="Arial"/>
                <w:sz w:val="14"/>
                <w:szCs w:val="14"/>
                <w:b w:val="1"/>
                <w:bCs w:val="1"/>
                <w:color w:val="auto"/>
              </w:rPr>
              <w:t>US$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2023</w:t>
            </w:r>
          </w:p>
        </w:tc>
        <w:tc>
          <w:tcPr>
            <w:tcW w:w="3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2025</w:t>
            </w:r>
          </w:p>
        </w:tc>
        <w:tc>
          <w:tcPr>
            <w:tcW w:w="3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2027 and thereafter</w:t>
            </w:r>
          </w:p>
        </w:tc>
        <w:tc>
          <w:tcPr>
            <w:tcW w:w="3220" w:type="dxa"/>
            <w:vAlign w:val="bottom"/>
          </w:tcPr>
          <w:p>
            <w:pPr>
              <w:jc w:val="right"/>
              <w:spacing w:after="0"/>
              <w:rPr>
                <w:sz w:val="20"/>
                <w:szCs w:val="20"/>
                <w:color w:val="auto"/>
              </w:rPr>
            </w:pPr>
            <w:r>
              <w:rPr>
                <w:rFonts w:ascii="Arial" w:cs="Arial" w:eastAsia="Arial" w:hAnsi="Arial"/>
                <w:sz w:val="18"/>
                <w:szCs w:val="18"/>
                <w:color w:val="auto"/>
              </w:rPr>
              <w:t>267</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actuarial assumptions to determine the benefit obligations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Weighted-average assumptions used to determine benefit obligations:</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820" w:type="dxa"/>
            <w:vAlign w:val="bottom"/>
            <w:gridSpan w:val="4"/>
          </w:tcPr>
          <w:p>
            <w:pPr>
              <w:jc w:val="right"/>
              <w:ind w:right="208"/>
              <w:spacing w:after="0"/>
              <w:rPr>
                <w:sz w:val="20"/>
                <w:szCs w:val="20"/>
                <w:color w:val="auto"/>
              </w:rPr>
            </w:pPr>
            <w:r>
              <w:rPr>
                <w:rFonts w:ascii="Arial" w:cs="Arial" w:eastAsia="Arial" w:hAnsi="Arial"/>
                <w:sz w:val="18"/>
                <w:szCs w:val="18"/>
                <w:color w:val="auto"/>
              </w:rPr>
              <w:t>0.50%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ind w:left="20"/>
              <w:spacing w:after="0"/>
              <w:rPr>
                <w:sz w:val="20"/>
                <w:szCs w:val="20"/>
                <w:color w:val="auto"/>
              </w:rPr>
            </w:pPr>
            <w:r>
              <w:rPr>
                <w:rFonts w:ascii="Arial" w:cs="Arial" w:eastAsia="Arial" w:hAnsi="Arial"/>
                <w:sz w:val="18"/>
                <w:szCs w:val="18"/>
                <w:color w:val="auto"/>
                <w:w w:val="97"/>
              </w:rPr>
              <w:t>0.75%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4.00%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Weighted-average assumptions used to determine net projected benefit cost: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Discount rate</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0.50%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0.75%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rPr>
              <w:t>Expected long-term return on plan assets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ind w:left="6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820" w:type="dxa"/>
            <w:vAlign w:val="bottom"/>
            <w:gridSpan w:val="4"/>
          </w:tcPr>
          <w:p>
            <w:pPr>
              <w:jc w:val="right"/>
              <w:ind w:right="208"/>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ind w:left="20"/>
              <w:spacing w:after="0"/>
              <w:rPr>
                <w:sz w:val="20"/>
                <w:szCs w:val="20"/>
                <w:color w:val="auto"/>
              </w:rPr>
            </w:pPr>
            <w:r>
              <w:rPr>
                <w:rFonts w:ascii="Arial" w:cs="Arial" w:eastAsia="Arial" w:hAnsi="Arial"/>
                <w:sz w:val="18"/>
                <w:szCs w:val="18"/>
                <w:color w:val="auto"/>
                <w:w w:val="97"/>
              </w:rPr>
              <w:t>2.00%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4.00%</w:t>
            </w:r>
          </w:p>
        </w:tc>
        <w:tc>
          <w:tcPr>
            <w:tcW w:w="0" w:type="dxa"/>
            <w:vAlign w:val="bottom"/>
          </w:tcPr>
          <w:p>
            <w:pPr>
              <w:spacing w:after="0"/>
              <w:rPr>
                <w:sz w:val="1"/>
                <w:szCs w:val="1"/>
                <w:color w:val="auto"/>
              </w:rPr>
            </w:pPr>
          </w:p>
        </w:tc>
      </w:tr>
      <w:tr>
        <w:trPr>
          <w:trHeight w:val="540"/>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14. INCOME TAXES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gridSpan w:val="3"/>
          </w:tcPr>
          <w:p>
            <w:pPr>
              <w:ind w:left="440"/>
              <w:spacing w:after="0"/>
              <w:rPr>
                <w:sz w:val="20"/>
                <w:szCs w:val="20"/>
                <w:color w:val="auto"/>
              </w:rPr>
            </w:pPr>
            <w:r>
              <w:rPr>
                <w:rFonts w:ascii="Arial" w:cs="Arial" w:eastAsia="Arial" w:hAnsi="Arial"/>
                <w:sz w:val="18"/>
                <w:szCs w:val="18"/>
                <w:b w:val="1"/>
                <w:bCs w:val="1"/>
                <w:color w:val="auto"/>
              </w:rPr>
              <w:t>Income Tax Provision</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3"/>
          </w:tcPr>
          <w:p>
            <w:pPr>
              <w:ind w:left="440"/>
              <w:spacing w:after="0"/>
              <w:rPr>
                <w:sz w:val="20"/>
                <w:szCs w:val="20"/>
                <w:color w:val="auto"/>
              </w:rPr>
            </w:pPr>
            <w:r>
              <w:rPr>
                <w:rFonts w:ascii="Arial" w:cs="Arial" w:eastAsia="Arial" w:hAnsi="Arial"/>
                <w:sz w:val="18"/>
                <w:szCs w:val="18"/>
                <w:color w:val="auto"/>
              </w:rPr>
              <w:t>The income (loss) before taxes for Cayman and Non-Cayman entities is as follows: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3"/>
          </w:tcPr>
          <w:p>
            <w:pPr>
              <w:jc w:val="right"/>
              <w:ind w:right="62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4"/>
          </w:tcPr>
          <w:p>
            <w:pPr>
              <w:ind w:left="38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Cayman</w:t>
            </w:r>
          </w:p>
        </w:tc>
        <w:tc>
          <w:tcPr>
            <w:tcW w:w="102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(3,911)</w:t>
            </w:r>
          </w:p>
        </w:tc>
        <w:tc>
          <w:tcPr>
            <w:tcW w:w="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(17,067)</w:t>
            </w:r>
          </w:p>
        </w:tc>
        <w:tc>
          <w:tcPr>
            <w:tcW w:w="10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(22,847)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Non-Cayman</w:t>
            </w: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75,985</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89"/>
              </w:rPr>
              <w:t>102,625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270,111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72,074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87"/>
              </w:rPr>
              <w:t>85,558</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247,264</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income tax provision (benefit) are as follows:</w:t>
            </w: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gridSpan w:val="14"/>
          </w:tcPr>
          <w:p>
            <w:pPr>
              <w:jc w:val="right"/>
              <w:ind w:right="68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95"/>
              </w:rPr>
              <w:t>US$</w:t>
            </w:r>
          </w:p>
        </w:tc>
        <w:tc>
          <w:tcPr>
            <w:tcW w:w="6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6,558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4"/>
              </w:rPr>
              <w:t>6,479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49,005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Deferred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1,118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(1,743)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7,676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4"/>
              </w:rPr>
              <w:t>5,812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47,262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6760" w:type="dxa"/>
            <w:vAlign w:val="bottom"/>
            <w:gridSpan w:val="2"/>
          </w:tcPr>
          <w:p>
            <w:pPr>
              <w:ind w:left="440"/>
              <w:spacing w:after="0"/>
              <w:rPr>
                <w:sz w:val="20"/>
                <w:szCs w:val="20"/>
                <w:color w:val="auto"/>
              </w:rPr>
            </w:pPr>
            <w:r>
              <w:rPr>
                <w:rFonts w:ascii="Arial" w:cs="Arial" w:eastAsia="Arial" w:hAnsi="Arial"/>
                <w:sz w:val="18"/>
                <w:szCs w:val="18"/>
                <w:color w:val="auto"/>
              </w:rPr>
              <w:t>Effective tax rate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1020" w:type="dxa"/>
            <w:vAlign w:val="bottom"/>
            <w:gridSpan w:val="7"/>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business operations are primarily located in China, Hong Kong, Macau, Taiwan and the US, where statutory and effective tax rates in each jurisdiction are different, and our consolidated effective tax rate could change from period-to-period due to changing statutory tax rates, availability of tax benefits and proportional income earned in each jurisdiction. The statutory tax rates in these jurisdictions range from 12 to 21%. For the year ended</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0960"/>
          </w:cols>
          <w:pgMar w:left="320" w:top="486" w:right="619" w:bottom="1440" w:gutter="0" w:footer="0" w:header="0"/>
        </w:sectPr>
      </w:pPr>
    </w:p>
    <w:bookmarkStart w:id="91" w:name="page92"/>
    <w:bookmarkEnd w:id="9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301" w:lineRule="auto"/>
        <w:rPr>
          <w:sz w:val="20"/>
          <w:szCs w:val="20"/>
          <w:color w:val="auto"/>
        </w:rPr>
      </w:pPr>
      <w:r>
        <w:rPr>
          <w:rFonts w:ascii="Arial" w:cs="Arial" w:eastAsia="Arial" w:hAnsi="Arial"/>
          <w:sz w:val="16"/>
          <w:szCs w:val="16"/>
          <w:color w:val="auto"/>
        </w:rPr>
        <w:t>December 2020, the Company’s effective tax rate was 6.8%, lower than 10.7% and 19.1% in 2019 and 2021 due to changes in proportional income earned by operations in key jurisdictions. Recent changes in tax policies will result in higher effective tax rates for the Company beginning in 2021. Effective tax rates in each jurisdiction are generally lower than statutory rates due to tax credits for research and development and other tax incentive programs and are determined by different government policies in each of the jurisdictions where the Company operates.</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consists of a Cayman parent holding company with U.S. and other non-Cayman operations. The applicable Cayman statutory rate is zero for the Company for 2019, 2020, and 2021. A reconciliation of its income tax expense at the statutory rate and provision for income tax is shown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4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7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5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gridSpan w:val="2"/>
          </w:tcPr>
          <w:p>
            <w:pPr>
              <w:spacing w:after="0"/>
              <w:rPr>
                <w:sz w:val="12"/>
                <w:szCs w:val="12"/>
                <w:color w:val="auto"/>
              </w:rPr>
            </w:pPr>
          </w:p>
        </w:tc>
        <w:tc>
          <w:tcPr>
            <w:tcW w:w="52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Tax expense at Cayman statutory rate</w:t>
            </w: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Differences between Cayman and other statutory tax rates</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846</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5,286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48,322</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Permanent differences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(10,625)</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Temporary differences</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638</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Alternative minimum tax</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Income tax on undistributed earnings</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575</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1,196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3,609</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changes in income tax credit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Net changes in valuation allowance of deferred income tax assets</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(1,820)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2,439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carryforwards</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(1,180)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Liabilities related to unrealized tax benefits</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(171)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(3,066)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5,877</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of prior years’ taxes and others</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(2,029)</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47,262</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Deferred and Current Income Taxes</w:t>
      </w:r>
    </w:p>
    <w:p>
      <w:pPr>
        <w:spacing w:after="0" w:line="121" w:lineRule="exact"/>
        <w:rPr>
          <w:sz w:val="20"/>
          <w:szCs w:val="20"/>
          <w:color w:val="auto"/>
        </w:rPr>
      </w:pPr>
    </w:p>
    <w:p>
      <w:pPr>
        <w:jc w:val="both"/>
        <w:ind w:left="120" w:right="500" w:firstLine="4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for income tax purposes.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Significant components of our deferred tax assets (liabilities) at the end of each period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gridSpan w:val="2"/>
          </w:tcPr>
          <w:p>
            <w:pPr>
              <w:spacing w:after="0"/>
              <w:rPr>
                <w:sz w:val="12"/>
                <w:szCs w:val="12"/>
                <w:color w:val="auto"/>
              </w:rPr>
            </w:pPr>
          </w:p>
        </w:tc>
        <w:tc>
          <w:tcPr>
            <w:tcW w:w="6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Allowance for sales return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Investment tax credits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4,512</w:t>
            </w: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3,251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16,754</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2,158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(20,816)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(21,807)</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valuation allowance shown in the table above relates to net operating loss carryforwards, tax credits and temporary differences for which the Company believes that realization is uncertain. Valuation allowance increased by US$2,708 thousand for the year ended December 31, 2020 and increased by US$991 thousand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year ended December 31, 2021, respectively. The increase in valuation allowance in 2020 and 2021 was primarily due to the uncertainty in generating sufficient taxable income in the future and utilization of operating loss carryforwards before they expire.</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December 31, 2021, the Company’s U.S. federal net operating loss carryforwards for federal income tax purposes were approximately US$36,823 thousand as of December 31, 2021, expiring at various times starting from 2022 through 2037 for federal losses generated through December 31, 2017, if not utilized. As a result of the U.S. Tax Cuts and Jobs Act (TCJA), all federal net operating losses of US$11,612 thousand that are generated beginning January 1, 2018 and beyond will carryforward indefinitely.</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As of December 31, 2021, the Company’s U.S. federal and state research and development tax credit carryforwards for federal and state income tax purposes were approximately US$1,948 thousand and US$1,304 thousand, respectively. If not utilized, the federal tax credit carryforwards will expire starting in 2041, while the state tax credit carryforward has no expiration date in California.</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Current U.S. federal and California state laws include substantial restrictions on the utilization of net operating losses and credits in the event of an “ownership change” of a corporation. Accordingly, the Company’s ability to utilize net operating loss and tax credit carryforwards may be limited as a result of such “ownership change”. Such a limitation could result in the expiration of carryforwards before they are utilized.</w:t>
      </w:r>
    </w:p>
    <w:p>
      <w:pPr>
        <w:spacing w:after="0" w:line="16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As of December 31, 2021, the Company had accumulated undistributed earnings from a foreign subsidiary of US$448 million. No deferred tax liability was recorded in respect of those amounts as these earnings are considered indefinitely reinvested. It is not practicable to estimate the amount of</w:t>
      </w:r>
    </w:p>
    <w:p>
      <w:pPr>
        <w:sectPr>
          <w:pgSz w:w="11900" w:h="16888" w:orient="portrait"/>
          <w:cols w:equalWidth="0" w:num="1">
            <w:col w:w="11140"/>
          </w:cols>
          <w:pgMar w:left="320" w:top="486" w:right="439" w:bottom="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unrecognized deferred tax liabilities for these undistributed foreign earnings.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balances of the total amounts of unrecognized tax benefits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22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Year Ended December 31</w:t>
            </w:r>
          </w:p>
        </w:tc>
      </w:tr>
      <w:tr>
        <w:trPr>
          <w:trHeight w:val="142"/>
        </w:trPr>
        <w:tc>
          <w:tcPr>
            <w:tcW w:w="88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8800" w:type="dxa"/>
            <w:vAlign w:val="bottom"/>
          </w:tcPr>
          <w:p>
            <w:pPr>
              <w:spacing w:after="0"/>
              <w:rPr>
                <w:sz w:val="12"/>
                <w:szCs w:val="12"/>
                <w:color w:val="auto"/>
              </w:rPr>
            </w:pPr>
          </w:p>
        </w:tc>
        <w:tc>
          <w:tcPr>
            <w:tcW w:w="5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gridSpan w:val="2"/>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20" w:type="dxa"/>
            <w:vAlign w:val="bottom"/>
          </w:tcPr>
          <w:p>
            <w:pPr>
              <w:spacing w:after="0"/>
              <w:rPr>
                <w:sz w:val="12"/>
                <w:szCs w:val="12"/>
                <w:color w:val="auto"/>
              </w:rPr>
            </w:pPr>
          </w:p>
        </w:tc>
        <w:tc>
          <w:tcPr>
            <w:tcW w:w="5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18,707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20,655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19,001</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Increases in tax positions taken in current year</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6,890</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5,029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8,750</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Decrease in tax position taken in prior year primarily related to the resolution of tax audit</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(4,942)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Balance, end of year</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20,655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19,001</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26,317</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At December 31, 2021, the Company had US$26,317 thousand of unrecognized tax benefits that if recognized would affect the effective tax rate. For the years ended December 31, 2019, 2020 and 2021, the total amount of interest expense and penalties related to uncertain tax positions recorded in the provision for income tax expense was approximately US$319 thousand, US$430 thousand and US$1,040 thousand, respectively. The total amount of accrued interest and penalties recognized as of December 31, 2020 and 2021 was US$5,179 thousand and US$6,368 thousand, respectively. The Company does not expect uncertain tax positions to change in the next twelve months, except in the case of settlements with tax authorities, the likelihood and timing of which are difficult to estimate.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20"/>
          </w:cols>
          <w:pgMar w:left="440" w:top="125"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Company files income tax returns in the U.S. and foreign jurisdictions. The following table summarizes the Company’s major jurisdictions and tax year that remain subject to examination by tax authorities as of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Tax Jurisdiction</w:t>
            </w:r>
          </w:p>
        </w:tc>
        <w:tc>
          <w:tcPr>
            <w:tcW w:w="4840" w:type="dxa"/>
            <w:vAlign w:val="bottom"/>
          </w:tcPr>
          <w:p>
            <w:pPr>
              <w:spacing w:after="0"/>
              <w:rPr>
                <w:sz w:val="16"/>
                <w:szCs w:val="16"/>
                <w:color w:val="auto"/>
              </w:rPr>
            </w:pPr>
          </w:p>
        </w:tc>
        <w:tc>
          <w:tcPr>
            <w:tcW w:w="51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Tax Years</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China</w:t>
            </w:r>
          </w:p>
        </w:tc>
        <w:tc>
          <w:tcPr>
            <w:tcW w:w="4840" w:type="dxa"/>
            <w:vAlign w:val="bottom"/>
          </w:tcPr>
          <w:p>
            <w:pPr>
              <w:spacing w:after="0"/>
              <w:rPr>
                <w:sz w:val="16"/>
                <w:szCs w:val="16"/>
                <w:color w:val="auto"/>
              </w:rPr>
            </w:pPr>
          </w:p>
        </w:tc>
        <w:tc>
          <w:tcPr>
            <w:tcW w:w="5180" w:type="dxa"/>
            <w:vAlign w:val="bottom"/>
          </w:tcPr>
          <w:p>
            <w:pPr>
              <w:spacing w:after="0" w:line="189" w:lineRule="exact"/>
              <w:rPr>
                <w:sz w:val="20"/>
                <w:szCs w:val="20"/>
                <w:color w:val="auto"/>
              </w:rPr>
            </w:pPr>
            <w:r>
              <w:rPr>
                <w:rFonts w:ascii="Arial" w:cs="Arial" w:eastAsia="Arial" w:hAnsi="Arial"/>
                <w:sz w:val="18"/>
                <w:szCs w:val="18"/>
                <w:color w:val="auto"/>
              </w:rPr>
              <w:t>2018 and onward</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Hong Kong</w:t>
            </w:r>
          </w:p>
        </w:tc>
        <w:tc>
          <w:tcPr>
            <w:tcW w:w="10020" w:type="dxa"/>
            <w:vAlign w:val="bottom"/>
            <w:gridSpan w:val="2"/>
          </w:tcPr>
          <w:p>
            <w:pPr>
              <w:ind w:left="4840"/>
              <w:spacing w:after="0"/>
              <w:rPr>
                <w:sz w:val="20"/>
                <w:szCs w:val="20"/>
                <w:color w:val="auto"/>
              </w:rPr>
            </w:pPr>
            <w:r>
              <w:rPr>
                <w:rFonts w:ascii="Arial" w:cs="Arial" w:eastAsia="Arial" w:hAnsi="Arial"/>
                <w:sz w:val="18"/>
                <w:szCs w:val="18"/>
                <w:color w:val="auto"/>
              </w:rPr>
              <w:t>2018 and onward</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Taiwan</w:t>
            </w:r>
          </w:p>
        </w:tc>
        <w:tc>
          <w:tcPr>
            <w:tcW w:w="10020" w:type="dxa"/>
            <w:vAlign w:val="bottom"/>
            <w:gridSpan w:val="2"/>
          </w:tcPr>
          <w:p>
            <w:pPr>
              <w:ind w:left="4840"/>
              <w:spacing w:after="0"/>
              <w:rPr>
                <w:sz w:val="20"/>
                <w:szCs w:val="20"/>
                <w:color w:val="auto"/>
              </w:rPr>
            </w:pPr>
            <w:r>
              <w:rPr>
                <w:rFonts w:ascii="Arial" w:cs="Arial" w:eastAsia="Arial" w:hAnsi="Arial"/>
                <w:sz w:val="18"/>
                <w:szCs w:val="18"/>
                <w:color w:val="auto"/>
              </w:rPr>
              <w:t>2016 and onward</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w w:val="90"/>
              </w:rPr>
              <w:t>United States</w:t>
            </w:r>
          </w:p>
        </w:tc>
        <w:tc>
          <w:tcPr>
            <w:tcW w:w="10020" w:type="dxa"/>
            <w:vAlign w:val="bottom"/>
            <w:gridSpan w:val="2"/>
          </w:tcPr>
          <w:p>
            <w:pPr>
              <w:ind w:left="4840"/>
              <w:spacing w:after="0"/>
              <w:rPr>
                <w:sz w:val="20"/>
                <w:szCs w:val="20"/>
                <w:color w:val="auto"/>
              </w:rPr>
            </w:pPr>
            <w:r>
              <w:rPr>
                <w:rFonts w:ascii="Arial" w:cs="Arial" w:eastAsia="Arial" w:hAnsi="Arial"/>
                <w:sz w:val="18"/>
                <w:szCs w:val="18"/>
                <w:color w:val="auto"/>
              </w:rPr>
              <w:t>2016 onward</w:t>
            </w:r>
          </w:p>
        </w:tc>
      </w:tr>
    </w:tbl>
    <w:p>
      <w:pPr>
        <w:spacing w:after="0" w:line="306" w:lineRule="exact"/>
        <w:rPr>
          <w:sz w:val="20"/>
          <w:szCs w:val="20"/>
          <w:color w:val="auto"/>
        </w:rPr>
      </w:pPr>
    </w:p>
    <w:p>
      <w:pPr>
        <w:ind w:left="120" w:right="8440" w:hanging="4"/>
        <w:spacing w:after="0" w:line="377" w:lineRule="auto"/>
        <w:tabs>
          <w:tab w:leader="none" w:pos="39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Dividends</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Company’s quarterly dividend payments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31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Dividends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Dividends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0"/>
                <w:szCs w:val="10"/>
                <w:color w:val="auto"/>
              </w:rPr>
            </w:pPr>
          </w:p>
        </w:tc>
        <w:tc>
          <w:tcPr>
            <w:tcW w:w="10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Dividends</w:t>
            </w:r>
          </w:p>
        </w:tc>
        <w:tc>
          <w:tcPr>
            <w:tcW w:w="100" w:type="dxa"/>
            <w:vAlign w:val="bottom"/>
          </w:tcPr>
          <w:p>
            <w:pPr>
              <w:spacing w:after="0"/>
              <w:rPr>
                <w:sz w:val="10"/>
                <w:szCs w:val="10"/>
                <w:color w:val="auto"/>
              </w:rPr>
            </w:pPr>
          </w:p>
        </w:tc>
        <w:tc>
          <w:tcPr>
            <w:tcW w:w="64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r>
      <w:tr>
        <w:trPr>
          <w:trHeight w:val="148"/>
        </w:trPr>
        <w:tc>
          <w:tcPr>
            <w:tcW w:w="3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 US$</w:t>
            </w: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Per Share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 US$</w:t>
            </w: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 US$</w:t>
            </w:r>
          </w:p>
        </w:tc>
      </w:tr>
      <w:tr>
        <w:trPr>
          <w:trHeight w:val="171"/>
        </w:trPr>
        <w:tc>
          <w:tcPr>
            <w:tcW w:w="3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(US$)</w:t>
            </w:r>
          </w:p>
        </w:tc>
        <w:tc>
          <w:tcPr>
            <w:tcW w:w="12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thousand)</w:t>
            </w: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(US$)</w:t>
            </w:r>
          </w:p>
        </w:tc>
        <w:tc>
          <w:tcPr>
            <w:tcW w:w="14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thousand)</w:t>
            </w:r>
          </w:p>
        </w:tc>
        <w:tc>
          <w:tcPr>
            <w:tcW w:w="14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(US$)</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thousand)</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0.0875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Second quarter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10,957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0.0875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0.0875</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12,224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0.0875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Fourth quarter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0.0875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12,171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0.0875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12,089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0.1250</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17,469</w:t>
            </w:r>
          </w:p>
        </w:tc>
      </w:tr>
      <w:tr>
        <w:trPr>
          <w:trHeight w:val="27"/>
        </w:trPr>
        <w:tc>
          <w:tcPr>
            <w:tcW w:w="3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44,113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48,994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54,142</w:t>
            </w:r>
          </w:p>
        </w:tc>
      </w:tr>
      <w:tr>
        <w:trPr>
          <w:trHeight w:val="20"/>
        </w:trPr>
        <w:tc>
          <w:tcPr>
            <w:tcW w:w="3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November 2, 2015, the board of directors began declaring an annual dividend payable in four quarterly installments. The board of directors declared annual dividends of US$1.40, US$1.40 and US$2.0 per ADS, equivalent to US$0.35, US$0.35 and US$0.5 per common share, payable in four quarterly installments on October 25, 2019, October 26, 2020 and October 25, 2021, respectively. Future dividends, if any, will be declared by and subject to the discretion of the Company’s board of directors.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Repurchase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November 21, 2018, the board of directors of the Company authorized the repurchase of up to US$200 million of the Company’s ADSs over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 month period. On October 26, 2020, the board of directors of the Company authorized the extension of the expiration of this program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21, 2021. On December 7, 2021, the board of directors of the Company authorized the repurchase of up to US$200 million of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ADSs over a 6 month period. The repurchase plans do not obligate the Company to acquire any particular amount of ADS and may be modified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suspended at any time at the Company’s discretion.</w:t>
      </w:r>
    </w:p>
    <w:p>
      <w:pPr>
        <w:spacing w:after="0" w:line="21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For the years ended December 31, 2019, 2020 and 2021, the Company repurchased 762 thousand, 626 thousand and 556 thousand ADSs for a total cost of US$25,103 thousand, US$25,044 thousand and US$50,011 thousand, respectively. The weighted average purchase price per ADS repurchased was US$32.82, US$39.93 and US$89.87 in 2019, 2020 and 2021,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EQUITY INCENTIVE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2015 Equity </w:t>
      </w:r>
      <w:r>
        <w:rPr>
          <w:rFonts w:ascii="Arial" w:cs="Arial" w:eastAsia="Arial" w:hAnsi="Arial"/>
          <w:sz w:val="18"/>
          <w:szCs w:val="18"/>
          <w:b w:val="1"/>
          <w:bCs w:val="1"/>
          <w:color w:val="auto"/>
        </w:rPr>
        <w:t>Incentive</w:t>
      </w:r>
      <w:r>
        <w:rPr>
          <w:rFonts w:ascii="Arial" w:cs="Arial" w:eastAsia="Arial" w:hAnsi="Arial"/>
          <w:sz w:val="18"/>
          <w:szCs w:val="18"/>
          <w:b w:val="1"/>
          <w:bCs w:val="1"/>
          <w:i w:val="1"/>
          <w:iCs w:val="1"/>
          <w:color w:val="auto"/>
        </w:rPr>
        <w:t xml:space="preserve"> Plan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Restricted stock units are converted into shares of the Company’s ordinary shares upon vesting on one-for-one basis. The vesting of restricted stock unit is subject to the employee’s continuing service to the Company. The cost of these awards is determined using the fair value of the Company’s ordinary share on the date of the grant, and compensation is recognized on a straight-line basis over the requisite service period. The Company’s restricted stock units are considered non-vested share awards as defined under ASC 718.</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86"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June 3, 2015, the Company adopted its 2015 Equity Incentive Plan (“the 2015 Plan”). The 2015 Plan provides for the grant of stock options, stock bonuses, restricted stock awards, restricted stock units and stock appreciation rights, which may be granted to employees (including officers), directors and consultants. The 2015 Plan reserved 20,000 thousand shares of ordinary shares for issuance upon exercise of stock options and restricted stock units.</w:t>
      </w:r>
    </w:p>
    <w:p>
      <w:pPr>
        <w:sectPr>
          <w:pgSz w:w="11900" w:h="16838" w:orient="portrait"/>
          <w:cols w:equalWidth="0" w:num="1">
            <w:col w:w="11060"/>
          </w:cols>
          <w:pgMar w:left="320" w:top="486" w:right="519" w:bottom="1440" w:gutter="0" w:footer="0" w:header="0"/>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 Activity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is a summary of, the 2015 Plan, which includes restricted stock units:</w:t>
      </w:r>
    </w:p>
    <w:p>
      <w:pPr>
        <w:spacing w:after="0" w:line="200" w:lineRule="exact"/>
        <w:rPr>
          <w:sz w:val="20"/>
          <w:szCs w:val="20"/>
          <w:color w:val="auto"/>
        </w:rPr>
      </w:pPr>
    </w:p>
    <w:p>
      <w:pPr>
        <w:spacing w:after="0" w:line="37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Available for grant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Restricted stock units forfeited</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Available for grant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Restricted stock units granted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Restricted stock units forfeited</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Available for grant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Restricted stock units forfeited</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Available for grant at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Unit</w:t>
      </w:r>
    </w:p>
    <w:p>
      <w:pPr>
        <w:spacing w:after="0" w:line="4" w:lineRule="exact"/>
        <w:rPr>
          <w:sz w:val="20"/>
          <w:szCs w:val="20"/>
          <w:color w:val="auto"/>
        </w:rPr>
      </w:pPr>
    </w:p>
    <w:p>
      <w:pPr>
        <w:jc w:val="center"/>
        <w:ind w:right="1800"/>
        <w:spacing w:after="0"/>
        <w:rPr>
          <w:sz w:val="20"/>
          <w:szCs w:val="20"/>
          <w:color w:val="auto"/>
        </w:rPr>
      </w:pPr>
      <w:r>
        <w:rPr>
          <w:rFonts w:ascii="Arial" w:cs="Arial" w:eastAsia="Arial" w:hAnsi="Arial"/>
          <w:sz w:val="13"/>
          <w:szCs w:val="13"/>
          <w:b w:val="1"/>
          <w:bCs w:val="1"/>
          <w:u w:val="single" w:color="auto"/>
          <w:color w:val="auto"/>
        </w:rPr>
        <w:t>(in Thousands)</w:t>
      </w:r>
    </w:p>
    <w:p>
      <w:pPr>
        <w:spacing w:after="0" w:line="2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15,787</w:t>
      </w:r>
    </w:p>
    <w:p>
      <w:pPr>
        <w:spacing w:after="0" w:line="8"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(1,584)</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911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14,260</w:t>
      </w:r>
    </w:p>
    <w:p>
      <w:pPr>
        <w:spacing w:after="0" w:line="23"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(1,692)</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911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12,625</w:t>
      </w:r>
    </w:p>
    <w:p>
      <w:pPr>
        <w:spacing w:after="0" w:line="23"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(2,326)</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911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5911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5911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720"/>
            <w:col w:w="2740"/>
          </w:cols>
          <w:pgMar w:left="320" w:top="486" w:right="519" w:bottom="1440" w:gutter="0" w:footer="0" w:header="0"/>
          <w:type w:val="continuous"/>
        </w:sectPr>
      </w:pP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related tax effect for stock-based compensation benefit (expense) were US$(49) thousand, US$11 thousand and US$(155) thousand for 2019,</w:t>
      </w:r>
    </w:p>
    <w:p>
      <w:pPr>
        <w:spacing w:after="0" w:line="46" w:lineRule="exact"/>
        <w:rPr>
          <w:sz w:val="20"/>
          <w:szCs w:val="20"/>
          <w:color w:val="auto"/>
        </w:rPr>
      </w:pPr>
    </w:p>
    <w:p>
      <w:pPr>
        <w:jc w:val="both"/>
        <w:ind w:left="120" w:right="280"/>
        <w:spacing w:after="0" w:line="255" w:lineRule="auto"/>
        <w:rPr>
          <w:sz w:val="20"/>
          <w:szCs w:val="20"/>
          <w:color w:val="auto"/>
        </w:rPr>
      </w:pPr>
      <w:r>
        <w:rPr>
          <w:rFonts w:ascii="Arial" w:cs="Arial" w:eastAsia="Arial" w:hAnsi="Arial"/>
          <w:sz w:val="18"/>
          <w:szCs w:val="18"/>
          <w:color w:val="auto"/>
        </w:rPr>
        <w:t>2020 and 2021, respectively. The related tax effect for stock-based compensation expense for restricted stock units exercised during 2019, 2020 and 2021 was US$3,446 thousand, US$2,188 thousand and US$2,767 thousand, respectively. The related tax effect was determined using applicable tax rates.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status of restricted stock units and changes is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1"/>
              </w:rPr>
              <w:t>Weighted</w:t>
            </w:r>
          </w:p>
        </w:tc>
        <w:tc>
          <w:tcPr>
            <w:tcW w:w="700" w:type="dxa"/>
            <w:vAlign w:val="bottom"/>
          </w:tcPr>
          <w:p>
            <w:pPr>
              <w:spacing w:after="0"/>
              <w:rPr>
                <w:sz w:val="14"/>
                <w:szCs w:val="14"/>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Weight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7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Date</w:t>
            </w:r>
          </w:p>
        </w:tc>
        <w:tc>
          <w:tcPr>
            <w:tcW w:w="7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Non-vested</w:t>
            </w: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1500" w:type="dxa"/>
            <w:vAlign w:val="bottom"/>
            <w:gridSpan w:val="3"/>
          </w:tcPr>
          <w:p>
            <w:pPr>
              <w:jc w:val="center"/>
              <w:ind w:left="555"/>
              <w:spacing w:after="0" w:line="149" w:lineRule="exact"/>
              <w:rPr>
                <w:sz w:val="20"/>
                <w:szCs w:val="20"/>
                <w:color w:val="auto"/>
              </w:rPr>
            </w:pPr>
            <w:r>
              <w:rPr>
                <w:rFonts w:ascii="Arial" w:cs="Arial" w:eastAsia="Arial" w:hAnsi="Arial"/>
                <w:sz w:val="14"/>
                <w:szCs w:val="14"/>
                <w:b w:val="1"/>
                <w:bCs w:val="1"/>
                <w:color w:val="auto"/>
                <w:w w:val="91"/>
              </w:rPr>
              <w:t>Recognition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7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40" w:type="dxa"/>
            <w:vAlign w:val="bottom"/>
            <w:gridSpan w:val="3"/>
          </w:tcPr>
          <w:p>
            <w:pPr>
              <w:jc w:val="center"/>
              <w:ind w:left="1532"/>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(US$)</w:t>
            </w:r>
          </w:p>
        </w:tc>
        <w:tc>
          <w:tcPr>
            <w:tcW w:w="7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2019</w:t>
            </w:r>
          </w:p>
        </w:tc>
        <w:tc>
          <w:tcPr>
            <w:tcW w:w="20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vested</w:t>
            </w:r>
          </w:p>
        </w:tc>
        <w:tc>
          <w:tcPr>
            <w:tcW w:w="3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202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20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1,692</w:t>
            </w: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vested</w:t>
            </w:r>
          </w:p>
        </w:tc>
        <w:tc>
          <w:tcPr>
            <w:tcW w:w="3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202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20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2,326</w:t>
            </w: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17.62</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vested</w:t>
            </w:r>
          </w:p>
        </w:tc>
        <w:tc>
          <w:tcPr>
            <w:tcW w:w="3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202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14.99</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20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40" w:type="dxa"/>
            <w:vAlign w:val="bottom"/>
            <w:gridSpan w:val="3"/>
          </w:tcPr>
          <w:p>
            <w:pPr>
              <w:jc w:val="right"/>
              <w:ind w:right="2000"/>
              <w:spacing w:after="0"/>
              <w:rPr>
                <w:sz w:val="20"/>
                <w:szCs w:val="20"/>
                <w:color w:val="auto"/>
              </w:rPr>
            </w:pPr>
            <w:r>
              <w:rPr>
                <w:rFonts w:ascii="Arial" w:cs="Arial" w:eastAsia="Arial" w:hAnsi="Arial"/>
                <w:sz w:val="18"/>
                <w:szCs w:val="18"/>
                <w:color w:val="auto"/>
              </w:rPr>
              <w:t>F-27</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December 31, 2021, there was US$24,807 thousand of total unrecognized compensation cost related to restricted stock units granted under the 2015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 shows total stock-based compensation expense included in the Consolidated Statements of Income for the years ended December 31, 2019, 2020 and 2021.</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Year Ended December 31</w:t>
            </w:r>
          </w:p>
        </w:tc>
      </w:tr>
      <w:tr>
        <w:trPr>
          <w:trHeight w:val="142"/>
        </w:trPr>
        <w:tc>
          <w:tcPr>
            <w:tcW w:w="674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tcBorders>
            <w:gridSpan w:val="2"/>
          </w:tcPr>
          <w:p>
            <w:pPr>
              <w:jc w:val="center"/>
              <w:ind w:left="214"/>
              <w:spacing w:after="0" w:line="142" w:lineRule="exact"/>
              <w:rPr>
                <w:sz w:val="20"/>
                <w:szCs w:val="20"/>
                <w:color w:val="auto"/>
              </w:rPr>
            </w:pPr>
            <w:r>
              <w:rPr>
                <w:rFonts w:ascii="Arial" w:cs="Arial" w:eastAsia="Arial" w:hAnsi="Arial"/>
                <w:sz w:val="14"/>
                <w:szCs w:val="14"/>
                <w:b w:val="1"/>
                <w:bCs w:val="1"/>
                <w:color w:val="auto"/>
                <w:w w:val="96"/>
              </w:rPr>
              <w:t>2020</w:t>
            </w:r>
          </w:p>
        </w:tc>
        <w:tc>
          <w:tcPr>
            <w:tcW w:w="92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60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18"/>
                <w:szCs w:val="18"/>
                <w:color w:val="auto"/>
              </w:rPr>
              <w:t>9,927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12,864</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8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8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680" w:hanging="4"/>
        <w:spacing w:after="0" w:line="453" w:lineRule="auto"/>
        <w:tabs>
          <w:tab w:leader="none" w:pos="39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LEASE Operating Leases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entered into various operating lease agreements, which consist of real property and office equipment with lease periods expiring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between fiscal years 2021 and 2027. The Company recognized leased assets in operating lease assets of US$6,704 and US$5,616 thousand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corresponding accrued expenses and other current liabilities of US$3,058 and US$2,899 thousand, and other long-term liabilities of US$3,881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US$2,987 thousand, as of December 31, 2020 and 2021, respectively. The weighted average remaining lease term was 2.87 years and 2.43 years, and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 average discount rate was 3.56% and 3.65% as of December 31, 2020 and 2021, respectively.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under the operating leases as of December 31, 2021,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w w:val="95"/>
              </w:rPr>
              <w:t>Operating Lease Obligations</w:t>
            </w:r>
          </w:p>
        </w:tc>
      </w:tr>
      <w:tr>
        <w:trPr>
          <w:trHeight w:val="196"/>
        </w:trPr>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2022</w:t>
            </w:r>
          </w:p>
        </w:tc>
        <w:tc>
          <w:tcPr>
            <w:tcW w:w="740" w:type="dxa"/>
            <w:vAlign w:val="bottom"/>
            <w:gridSpan w:val="2"/>
          </w:tcPr>
          <w:p>
            <w:pPr>
              <w:jc w:val="right"/>
              <w:ind w:right="56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3,051</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2027 and thereafter</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23"/>
        </w:trPr>
        <w:tc>
          <w:tcPr>
            <w:tcW w:w="74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Present value of net future minimum lease payments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5,886</w:t>
            </w:r>
          </w:p>
        </w:tc>
        <w:tc>
          <w:tcPr>
            <w:tcW w:w="6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operating lease liabilities-current</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60" w:type="dxa"/>
            <w:vAlign w:val="bottom"/>
            <w:shd w:val="clear" w:color="auto" w:fill="CCEEFF"/>
          </w:tcPr>
          <w:p>
            <w:pPr>
              <w:spacing w:after="0"/>
              <w:rPr>
                <w:sz w:val="18"/>
                <w:szCs w:val="18"/>
                <w:color w:val="auto"/>
              </w:rPr>
            </w:pPr>
          </w:p>
        </w:tc>
      </w:tr>
      <w:tr>
        <w:trPr>
          <w:trHeight w:val="223"/>
        </w:trPr>
        <w:tc>
          <w:tcPr>
            <w:tcW w:w="742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6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Operating lease expenses for the years ended December 31, 2019, 2020 and 2021 are US$4,775 thousand, US$4,261 thousand, and</w:t>
      </w:r>
    </w:p>
    <w:p>
      <w:pPr>
        <w:spacing w:after="0" w:line="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US$4,574 thousand, respectively. For the supplemental cash flow information related to lease, the cash paid for amounts included in the measurement of operating lease liabilities was US$3,233 thousand, US$3,226 thousand and US$3,502 thousand for the year ended December 31, 2019, 2020 and 2021, respectively.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86"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7260" w:hanging="4"/>
        <w:spacing w:after="0" w:line="377" w:lineRule="auto"/>
        <w:tabs>
          <w:tab w:leader="none" w:pos="39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Office Building Construction</w:t>
      </w:r>
    </w:p>
    <w:p>
      <w:pPr>
        <w:spacing w:after="0" w:line="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February 18, 2021, the Company won a bid with a third-party to build an office building in Taipei and entered into a property development agreement in May 2021, at which time it delivered a US$5,322 thousand performance bond secured by a certificate of deposit. Based on the terms of the property development agreement, the Company is required to complete construction within three years after the construction license is approved.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From time to time, the Company is subject to threats of litigation or actual litigation in the ordinary course of business, some of which may be material. On April 5, Rampart Asset Management LLC., commenced a patent infringement lawsuit against the Company in the United States District Court of the Eastern District of Texas, Marshall Divisions. As the case is in its preliminary phase, the Company has not been served with a complaint in this matter. The Company intends to defend this matter and although the ultimate outcome cannot be predicted with certainty, based on the current information available, the Company does not believe the ultimate liability, if any, will have a material adverse effect on its financial condition or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SEGMENT INFORMATION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is the global leader and pioneer in developing NAND flash controllers for solid state storage devices. The Company currently operates as one reportable segment. The chief operating decision maker (“CODM”) is the Chief Executive Officer. The fact that the Company operates in only one reportable segment is because the decisions on allocation of resources and other operational decisions are made by the CODM based on his direct involvement with the Company’s operations and product development.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groups its products into three categories, based on the markets in which they may be used. The following summarizes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revenue by product category:</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20" w:type="dxa"/>
            <w:vAlign w:val="bottom"/>
            <w:tcBorders>
              <w:bottom w:val="single" w:sz="8" w:color="auto"/>
            </w:tcBorders>
            <w:gridSpan w:val="5"/>
          </w:tcPr>
          <w:p>
            <w:pPr>
              <w:jc w:val="center"/>
              <w:ind w:left="524"/>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gridSpan w:val="2"/>
          </w:tcPr>
          <w:p>
            <w:pPr>
              <w:jc w:val="center"/>
              <w:ind w:left="133"/>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Mobile Storage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441,700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532,682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910,569</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Mobile Communications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10,356</w:t>
            </w:r>
          </w:p>
        </w:tc>
        <w:tc>
          <w:tcPr>
            <w:tcW w:w="220" w:type="dxa"/>
            <w:vAlign w:val="bottom"/>
          </w:tcPr>
          <w:p>
            <w:pPr>
              <w:spacing w:after="0"/>
              <w:rPr>
                <w:sz w:val="18"/>
                <w:szCs w:val="18"/>
                <w:color w:val="auto"/>
              </w:rPr>
            </w:pPr>
          </w:p>
        </w:tc>
        <w:tc>
          <w:tcPr>
            <w:tcW w:w="12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8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457,253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539,521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922,100</w:t>
            </w:r>
          </w:p>
        </w:tc>
        <w:tc>
          <w:tcPr>
            <w:tcW w:w="80" w:type="dxa"/>
            <w:vAlign w:val="bottom"/>
          </w:tcPr>
          <w:p>
            <w:pPr>
              <w:spacing w:after="0"/>
              <w:rPr>
                <w:sz w:val="19"/>
                <w:szCs w:val="19"/>
                <w:color w:val="auto"/>
              </w:rPr>
            </w:pPr>
          </w:p>
        </w:tc>
      </w:tr>
      <w:tr>
        <w:trPr>
          <w:trHeight w:val="20"/>
        </w:trPr>
        <w:tc>
          <w:tcPr>
            <w:tcW w:w="6800" w:type="dxa"/>
            <w:vAlign w:val="bottom"/>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7580" w:type="dxa"/>
            <w:vAlign w:val="bottom"/>
            <w:gridSpan w:val="4"/>
          </w:tcPr>
          <w:p>
            <w:pPr>
              <w:jc w:val="right"/>
              <w:ind w:right="204"/>
              <w:spacing w:after="0"/>
              <w:rPr>
                <w:sz w:val="20"/>
                <w:szCs w:val="20"/>
                <w:color w:val="auto"/>
              </w:rPr>
            </w:pPr>
            <w:r>
              <w:rPr>
                <w:rFonts w:ascii="Arial" w:cs="Arial" w:eastAsia="Arial" w:hAnsi="Arial"/>
                <w:sz w:val="18"/>
                <w:szCs w:val="18"/>
                <w:color w:val="auto"/>
                <w:w w:val="89"/>
              </w:rPr>
              <w:t>Revenue is attributed to a geographic area based on the bill-to location and is summarized as follows: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20" w:type="dxa"/>
            <w:vAlign w:val="bottom"/>
            <w:tcBorders>
              <w:bottom w:val="single" w:sz="8" w:color="auto"/>
            </w:tcBorders>
            <w:gridSpan w:val="5"/>
          </w:tcPr>
          <w:p>
            <w:pPr>
              <w:jc w:val="center"/>
              <w:ind w:left="504"/>
              <w:spacing w:after="0"/>
              <w:rPr>
                <w:sz w:val="20"/>
                <w:szCs w:val="20"/>
                <w:color w:val="auto"/>
              </w:rPr>
            </w:pPr>
            <w:r>
              <w:rPr>
                <w:rFonts w:ascii="Arial" w:cs="Arial" w:eastAsia="Arial" w:hAnsi="Arial"/>
                <w:sz w:val="14"/>
                <w:szCs w:val="14"/>
                <w:b w:val="1"/>
                <w:bCs w:val="1"/>
                <w:color w:val="auto"/>
                <w:w w:val="92"/>
              </w:rPr>
              <w:t>Year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gridSpan w:val="2"/>
          </w:tcPr>
          <w:p>
            <w:pPr>
              <w:jc w:val="center"/>
              <w:ind w:left="133"/>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159,575</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United States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63,432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42,099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53,517</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21,569</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China</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123,261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154,789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286,605</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73,264</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Singapore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45,032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97,813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219,214</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108,356</w:t>
            </w:r>
          </w:p>
        </w:tc>
        <w:tc>
          <w:tcPr>
            <w:tcW w:w="8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457,253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539,521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922,100</w:t>
            </w:r>
          </w:p>
        </w:tc>
        <w:tc>
          <w:tcPr>
            <w:tcW w:w="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20" w:type="dxa"/>
            <w:vAlign w:val="bottom"/>
            <w:gridSpan w:val="2"/>
          </w:tcPr>
          <w:p>
            <w:pPr>
              <w:jc w:val="right"/>
              <w:ind w:right="2264"/>
              <w:spacing w:after="0"/>
              <w:rPr>
                <w:sz w:val="20"/>
                <w:szCs w:val="20"/>
                <w:color w:val="auto"/>
              </w:rPr>
            </w:pPr>
            <w:r>
              <w:rPr>
                <w:rFonts w:ascii="Arial" w:cs="Arial" w:eastAsia="Arial" w:hAnsi="Arial"/>
                <w:sz w:val="18"/>
                <w:szCs w:val="18"/>
                <w:color w:val="auto"/>
              </w:rPr>
              <w:t>F-29</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Major customers representing at least 10% of net sales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Year Ended December 31</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7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US$</w:t>
            </w:r>
          </w:p>
        </w:tc>
        <w:tc>
          <w:tcPr>
            <w:tcW w:w="2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4"/>
              </w:rPr>
              <w:t>75,608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94,781</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Micron</w:t>
            </w:r>
          </w:p>
        </w:tc>
        <w:tc>
          <w:tcPr>
            <w:tcW w:w="760" w:type="dxa"/>
            <w:vAlign w:val="bottom"/>
          </w:tcPr>
          <w:p>
            <w:pPr>
              <w:jc w:val="right"/>
              <w:ind w:right="139"/>
              <w:spacing w:after="0"/>
              <w:rPr>
                <w:sz w:val="20"/>
                <w:szCs w:val="20"/>
                <w:color w:val="auto"/>
              </w:rPr>
            </w:pPr>
            <w:r>
              <w:rPr>
                <w:rFonts w:ascii="Arial" w:cs="Arial" w:eastAsia="Arial" w:hAnsi="Arial"/>
                <w:sz w:val="18"/>
                <w:szCs w:val="18"/>
                <w:color w:val="auto"/>
                <w:w w:val="94"/>
              </w:rPr>
              <w:t>67,682</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28"/>
              <w:spacing w:after="0"/>
              <w:rPr>
                <w:sz w:val="20"/>
                <w:szCs w:val="20"/>
                <w:color w:val="auto"/>
              </w:rPr>
            </w:pPr>
            <w:r>
              <w:rPr>
                <w:rFonts w:ascii="Arial" w:cs="Arial" w:eastAsia="Arial" w:hAnsi="Arial"/>
                <w:sz w:val="18"/>
                <w:szCs w:val="18"/>
                <w:color w:val="auto"/>
              </w:rPr>
              <w:t>127,708</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8"/>
                <w:szCs w:val="18"/>
                <w:color w:val="auto"/>
                <w:w w:val="92"/>
              </w:rPr>
              <w:t>243,204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Long-lived assets (property and equipment, net) by geographic area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9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0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6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94,996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102,420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111,341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China</w:t>
            </w:r>
          </w:p>
        </w:tc>
        <w:tc>
          <w:tcPr>
            <w:tcW w:w="6420" w:type="dxa"/>
            <w:vAlign w:val="bottom"/>
            <w:gridSpan w:val="3"/>
          </w:tcPr>
          <w:p>
            <w:pPr>
              <w:jc w:val="right"/>
              <w:ind w:right="160"/>
              <w:spacing w:after="0"/>
              <w:rPr>
                <w:sz w:val="20"/>
                <w:szCs w:val="20"/>
                <w:color w:val="auto"/>
              </w:rPr>
            </w:pPr>
            <w:r>
              <w:rPr>
                <w:rFonts w:ascii="Arial" w:cs="Arial" w:eastAsia="Arial" w:hAnsi="Arial"/>
                <w:sz w:val="18"/>
                <w:szCs w:val="18"/>
                <w:color w:val="auto"/>
              </w:rPr>
              <w:t>3,117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2,770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12,518</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w:t>
            </w:r>
          </w:p>
        </w:tc>
      </w:tr>
      <w:tr>
        <w:trPr>
          <w:trHeight w:val="223"/>
        </w:trPr>
        <w:tc>
          <w:tcPr>
            <w:tcW w:w="29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98,488</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105,496</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124,478</w:t>
            </w:r>
          </w:p>
        </w:tc>
        <w:tc>
          <w:tcPr>
            <w:tcW w:w="8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2920" w:type="dxa"/>
            <w:vAlign w:val="bottom"/>
          </w:tcPr>
          <w:p>
            <w:pPr>
              <w:spacing w:after="0"/>
              <w:rPr>
                <w:sz w:val="24"/>
                <w:szCs w:val="24"/>
                <w:color w:val="auto"/>
              </w:rPr>
            </w:pPr>
          </w:p>
        </w:tc>
        <w:tc>
          <w:tcPr>
            <w:tcW w:w="6420" w:type="dxa"/>
            <w:vAlign w:val="bottom"/>
            <w:gridSpan w:val="3"/>
          </w:tcPr>
          <w:p>
            <w:pPr>
              <w:ind w:left="2420"/>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Significant Subsidiaries of Silicon Motion Technology Corporation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Entity</w:t>
            </w:r>
          </w:p>
        </w:tc>
        <w:tc>
          <w:tcPr>
            <w:tcW w:w="3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195"/>
        </w:trPr>
        <w:tc>
          <w:tcPr>
            <w:tcW w:w="4400" w:type="dxa"/>
            <w:vAlign w:val="bottom"/>
            <w:gridSpan w:val="2"/>
          </w:tcPr>
          <w:p>
            <w:pPr>
              <w:spacing w:after="0" w:line="195" w:lineRule="exact"/>
              <w:rPr>
                <w:sz w:val="20"/>
                <w:szCs w:val="20"/>
                <w:color w:val="auto"/>
              </w:rPr>
            </w:pPr>
            <w:r>
              <w:rPr>
                <w:rFonts w:ascii="Arial" w:cs="Arial" w:eastAsia="Arial" w:hAnsi="Arial"/>
                <w:sz w:val="18"/>
                <w:szCs w:val="18"/>
                <w:color w:val="auto"/>
              </w:rPr>
              <w:t>Silicon Motion, Inc.</w:t>
            </w:r>
          </w:p>
        </w:tc>
        <w:tc>
          <w:tcPr>
            <w:tcW w:w="1440" w:type="dxa"/>
            <w:vAlign w:val="bottom"/>
          </w:tcPr>
          <w:p>
            <w:pPr>
              <w:spacing w:after="0"/>
              <w:rPr>
                <w:sz w:val="16"/>
                <w:szCs w:val="16"/>
                <w:color w:val="auto"/>
              </w:rPr>
            </w:pPr>
          </w:p>
        </w:tc>
        <w:tc>
          <w:tcPr>
            <w:tcW w:w="1800" w:type="dxa"/>
            <w:vAlign w:val="bottom"/>
          </w:tcPr>
          <w:p>
            <w:pPr>
              <w:spacing w:after="0" w:line="195" w:lineRule="exact"/>
              <w:rPr>
                <w:sz w:val="20"/>
                <w:szCs w:val="20"/>
                <w:color w:val="auto"/>
              </w:rPr>
            </w:pPr>
            <w:r>
              <w:rPr>
                <w:rFonts w:ascii="Arial" w:cs="Arial" w:eastAsia="Arial" w:hAnsi="Arial"/>
                <w:sz w:val="18"/>
                <w:szCs w:val="18"/>
                <w:color w:val="auto"/>
              </w:rPr>
              <w:t>Taiwan</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Silicon Motion Technology (Macao) Ltd.</w:t>
            </w:r>
          </w:p>
        </w:tc>
        <w:tc>
          <w:tcPr>
            <w:tcW w:w="3240" w:type="dxa"/>
            <w:vAlign w:val="bottom"/>
            <w:gridSpan w:val="2"/>
          </w:tcPr>
          <w:p>
            <w:pPr>
              <w:ind w:left="1440"/>
              <w:spacing w:after="0"/>
              <w:rPr>
                <w:sz w:val="20"/>
                <w:szCs w:val="20"/>
                <w:color w:val="auto"/>
              </w:rPr>
            </w:pPr>
            <w:r>
              <w:rPr>
                <w:rFonts w:ascii="Arial" w:cs="Arial" w:eastAsia="Arial" w:hAnsi="Arial"/>
                <w:sz w:val="18"/>
                <w:szCs w:val="18"/>
                <w:color w:val="auto"/>
              </w:rPr>
              <w:t>Macau</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Silicon Motion Technology (HK) Ltd.</w:t>
            </w:r>
          </w:p>
        </w:tc>
        <w:tc>
          <w:tcPr>
            <w:tcW w:w="3240" w:type="dxa"/>
            <w:vAlign w:val="bottom"/>
            <w:gridSpan w:val="2"/>
          </w:tcPr>
          <w:p>
            <w:pPr>
              <w:ind w:left="14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020"/>
          </w:cols>
          <w:pgMar w:left="440" w:top="121" w:right="4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Wallace C. Kou, the President and Chief Executive Officer of Silicon Motion Technology Corporation, certify that:</w:t>
      </w:r>
    </w:p>
    <w:p>
      <w:pPr>
        <w:spacing w:after="0" w:line="117" w:lineRule="exact"/>
        <w:rPr>
          <w:sz w:val="20"/>
          <w:szCs w:val="20"/>
          <w:color w:val="auto"/>
        </w:rPr>
      </w:pPr>
    </w:p>
    <w:p>
      <w:pPr>
        <w:ind w:left="620" w:hanging="184"/>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Silicon Motion Technology Corporation;</w:t>
      </w:r>
    </w:p>
    <w:p>
      <w:pPr>
        <w:spacing w:after="0" w:line="117" w:lineRule="exact"/>
        <w:rPr>
          <w:rFonts w:ascii="Arial" w:cs="Arial" w:eastAsia="Arial" w:hAnsi="Arial"/>
          <w:sz w:val="18"/>
          <w:szCs w:val="18"/>
          <w:color w:val="auto"/>
        </w:rPr>
      </w:pPr>
    </w:p>
    <w:p>
      <w:pPr>
        <w:jc w:val="both"/>
        <w:ind w:left="440" w:right="180" w:hanging="4"/>
        <w:spacing w:after="0" w:line="263"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60" w:hanging="4"/>
        <w:spacing w:after="0" w:line="308"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40" w:right="140" w:hanging="4"/>
        <w:spacing w:after="0" w:line="291"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980" w:right="240" w:firstLine="7"/>
        <w:spacing w:after="0" w:line="263" w:lineRule="auto"/>
        <w:tabs>
          <w:tab w:leader="none" w:pos="122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100" w:firstLine="7"/>
        <w:spacing w:after="0" w:line="263" w:lineRule="auto"/>
        <w:tabs>
          <w:tab w:leader="none" w:pos="12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100" w:firstLine="7"/>
        <w:spacing w:after="0" w:line="342" w:lineRule="auto"/>
        <w:tabs>
          <w:tab w:leader="none" w:pos="122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right="180" w:firstLine="7"/>
        <w:spacing w:after="0" w:line="263" w:lineRule="auto"/>
        <w:tabs>
          <w:tab w:leader="none" w:pos="123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left="440" w:right="100" w:hanging="4"/>
        <w:spacing w:after="0" w:line="342" w:lineRule="auto"/>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company’s board of directors (or persons performing the equivalent functions):</w:t>
      </w:r>
    </w:p>
    <w:p>
      <w:pPr>
        <w:spacing w:after="0" w:line="15" w:lineRule="exact"/>
        <w:rPr>
          <w:rFonts w:ascii="Arial" w:cs="Arial" w:eastAsia="Arial" w:hAnsi="Arial"/>
          <w:sz w:val="16"/>
          <w:szCs w:val="16"/>
          <w:color w:val="auto"/>
        </w:rPr>
      </w:pPr>
    </w:p>
    <w:p>
      <w:pPr>
        <w:ind w:left="980" w:right="300" w:firstLine="7"/>
        <w:spacing w:after="0" w:line="308" w:lineRule="auto"/>
        <w:tabs>
          <w:tab w:leader="none" w:pos="122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80" w:right="20" w:firstLine="7"/>
        <w:spacing w:after="0" w:line="277" w:lineRule="auto"/>
        <w:tabs>
          <w:tab w:leader="none" w:pos="122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Wallace C. 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Name:</w:t>
        <w:tab/>
        <w:t>Wallace C. Kou</w:t>
      </w:r>
    </w:p>
    <w:p>
      <w:pPr>
        <w:spacing w:after="0" w:line="225"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020"/>
          </w:cols>
          <w:pgMar w:left="440" w:top="121"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Riyadh Lai, the Chief Financial Officer of Silicon Motion Technology Corporation, certify that:</w:t>
      </w:r>
    </w:p>
    <w:p>
      <w:pPr>
        <w:spacing w:after="0" w:line="117" w:lineRule="exact"/>
        <w:rPr>
          <w:sz w:val="20"/>
          <w:szCs w:val="20"/>
          <w:color w:val="auto"/>
        </w:rPr>
      </w:pPr>
    </w:p>
    <w:p>
      <w:pPr>
        <w:ind w:left="620" w:hanging="184"/>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Silicon Motion Technology Corporation;</w:t>
      </w:r>
    </w:p>
    <w:p>
      <w:pPr>
        <w:spacing w:after="0" w:line="117" w:lineRule="exact"/>
        <w:rPr>
          <w:rFonts w:ascii="Arial" w:cs="Arial" w:eastAsia="Arial" w:hAnsi="Arial"/>
          <w:sz w:val="18"/>
          <w:szCs w:val="18"/>
          <w:color w:val="auto"/>
        </w:rPr>
      </w:pPr>
    </w:p>
    <w:p>
      <w:pPr>
        <w:jc w:val="both"/>
        <w:ind w:left="440" w:right="180" w:hanging="4"/>
        <w:spacing w:after="0" w:line="263" w:lineRule="auto"/>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60" w:hanging="4"/>
        <w:spacing w:after="0" w:line="308"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left="440" w:right="140" w:hanging="4"/>
        <w:spacing w:after="0" w:line="291"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980" w:right="240" w:firstLine="7"/>
        <w:spacing w:after="0" w:line="263" w:lineRule="auto"/>
        <w:tabs>
          <w:tab w:leader="none" w:pos="122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100" w:firstLine="7"/>
        <w:spacing w:after="0" w:line="263" w:lineRule="auto"/>
        <w:tabs>
          <w:tab w:leader="none" w:pos="12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100" w:firstLine="7"/>
        <w:spacing w:after="0" w:line="342" w:lineRule="auto"/>
        <w:tabs>
          <w:tab w:leader="none" w:pos="122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right="180" w:firstLine="7"/>
        <w:spacing w:after="0" w:line="263" w:lineRule="auto"/>
        <w:tabs>
          <w:tab w:leader="none" w:pos="12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left="440" w:right="100" w:hanging="4"/>
        <w:spacing w:after="0" w:line="342" w:lineRule="auto"/>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company’s board of directors (or persons performing the equivalent functions):</w:t>
      </w:r>
    </w:p>
    <w:p>
      <w:pPr>
        <w:spacing w:after="0" w:line="15" w:lineRule="exact"/>
        <w:rPr>
          <w:rFonts w:ascii="Arial" w:cs="Arial" w:eastAsia="Arial" w:hAnsi="Arial"/>
          <w:sz w:val="16"/>
          <w:szCs w:val="16"/>
          <w:color w:val="auto"/>
        </w:rPr>
      </w:pPr>
    </w:p>
    <w:p>
      <w:pPr>
        <w:ind w:left="980" w:right="300" w:firstLine="7"/>
        <w:spacing w:after="0" w:line="308" w:lineRule="auto"/>
        <w:tabs>
          <w:tab w:leader="none" w:pos="122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80" w:right="20" w:firstLine="7"/>
        <w:spacing w:after="0" w:line="277" w:lineRule="auto"/>
        <w:tabs>
          <w:tab w:leader="none" w:pos="122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Riyadh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Riyadh Lai</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020"/>
          </w:cols>
          <w:pgMar w:left="440" w:top="121" w:right="4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the undersigned each hereby certifies that, to his knowledge, the annual report on Form 20-F of Silicon Motion Technology Corporation for the year ended December 31, 2021 fully complies with the requirements of Section 13(a) or 15(d), as applicable, of the Securities Exchange Act of 1934, and that the information contained in the periodic report fairly presents, in all material respects, the financial condition and results of operations of Silicon Motion Technology Corporation.</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certification is being furnished pursuant to 18 U.S.C. Section 1350 solely for purposes of complying with the provisions of Section 906 of the Sarbanes-Oxley Act of 2002, is not intended to be used or relied upon for any other purpose and is not being filed as part of the periodic report or as a separate disclosure document.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Wallace C. 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Wallace C. Kou</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Riyadh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Riyadh Lai</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020"/>
          </w:cols>
          <w:pgMar w:left="440" w:top="121"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333-204876 on Form S-8 of our reports dated April 25, 2022, relating to the consolidated financial statements of Silicon Motion Technology Corporation and subsidiaries and the effectiveness of Silicon Motion Technology Corporation and subsidiaries’ internal control over financial reporting, appearing in the Annual Report on Form 20-F for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Taipei, 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25,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upperLetter"/>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emdash "/>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lowerLetter"/>
      <w:start w:val="2"/>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2"/>
    </w:lvl>
  </w:abstractNum>
  <w:abstractNum w:abstractNumId="39">
    <w:nsid w:val="725A06FB"/>
    <w:multiLevelType w:val="hybridMultilevel"/>
    <w:lvl w:ilvl="0">
      <w:lvlJc w:val="left"/>
      <w:lvlText w:val="•"/>
      <w:numFmt w:val="bullet"/>
      <w:start w:val="1"/>
    </w:lvl>
    <w:lvl w:ilvl="1">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767"/>
    </w:lvl>
  </w:abstractNum>
  <w:abstractNum w:abstractNumId="42">
    <w:nsid w:val="7A6D8D3C"/>
    <w:multiLevelType w:val="hybridMultilevel"/>
    <w:lvl w:ilvl="0">
      <w:lvlJc w:val="left"/>
      <w:lvlText w:val="%1."/>
      <w:numFmt w:val="decimal"/>
      <w:start w:val="15"/>
    </w:lvl>
  </w:abstractNum>
  <w:abstractNum w:abstractNumId="43">
    <w:nsid w:val="4B588F54"/>
    <w:multiLevelType w:val="hybridMultilevel"/>
    <w:lvl w:ilvl="0">
      <w:lvlJc w:val="left"/>
      <w:lvlText w:val="%1."/>
      <w:numFmt w:val="decimal"/>
      <w:start w:val="17"/>
    </w:lvl>
  </w:abstractNum>
  <w:abstractNum w:abstractNumId="44">
    <w:nsid w:val="542289EC"/>
    <w:multiLevelType w:val="hybridMultilevel"/>
    <w:lvl w:ilvl="0">
      <w:lvlJc w:val="left"/>
      <w:lvlText w:val="%1."/>
      <w:numFmt w:val="decimal"/>
      <w:start w:val="18"/>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85" Type="http://schemas.openxmlformats.org/officeDocument/2006/relationships/hyperlink" Target="http://www.sec.gov/Archives/edgar/data/1329394/000119312505123026/dex31.htm" TargetMode="External"/><Relationship Id="rId86" Type="http://schemas.openxmlformats.org/officeDocument/2006/relationships/hyperlink" Target="http://www.sec.gov/Archives/edgar/data/1329394/000119312505123026/dex32.htm" TargetMode="External"/><Relationship Id="rId87" Type="http://schemas.openxmlformats.org/officeDocument/2006/relationships/hyperlink" Target="http://www.sec.gov/Archives/edgar/data/1329394/000119312505123026/dex41.htm" TargetMode="External"/><Relationship Id="rId88" Type="http://schemas.openxmlformats.org/officeDocument/2006/relationships/hyperlink" Target="http://www.sec.gov/Archives/edgar/data/1201935/000101915513000574/silicondepnreccomp.htm" TargetMode="External"/><Relationship Id="rId89" Type="http://schemas.openxmlformats.org/officeDocument/2006/relationships/hyperlink" Target="http://www.sec.gov/Archives/edgar/data/1329394/000119312515220474/d941491dex41.htm" TargetMode="External"/><Relationship Id="rId90" Type="http://schemas.openxmlformats.org/officeDocument/2006/relationships/hyperlink" Target="http://www.sec.gov/Archives/edgar/data/1329394/000119312515161139/d847447dex413.htm" TargetMode="External"/><Relationship Id="rId91" Type="http://schemas.openxmlformats.org/officeDocument/2006/relationships/hyperlink" Target="http://www.sec.gov/Archives/edgar/data/1329394/000119312506140505/dex1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2022-04-25T16:32:07Z</dcterms:created>
  <dcterms:modified xsi:type="dcterms:W3CDTF">2022-04-25T16:32:07Z</dcterms:modified>
</cp:coreProperties>
</file>