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200" w:right="21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For the month of August 2022.</w:t>
      </w:r>
    </w:p>
    <w:p>
      <w:pPr>
        <w:spacing w:after="0" w:line="22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39"/>
        <w:spacing w:after="0"/>
        <w:rPr>
          <w:sz w:val="20"/>
          <w:szCs w:val="20"/>
          <w:color w:val="auto"/>
        </w:rPr>
      </w:pPr>
      <w:r>
        <w:rPr>
          <w:rFonts w:ascii="Arial" w:cs="Arial" w:eastAsia="Arial" w:hAnsi="Arial"/>
          <w:sz w:val="40"/>
          <w:szCs w:val="40"/>
          <w:b w:val="1"/>
          <w:bCs w:val="1"/>
          <w:color w:val="auto"/>
        </w:rPr>
        <w:t>SILICON MOTION TECHNOLOGY CORPORATION</w:t>
      </w:r>
    </w:p>
    <w:p>
      <w:pPr>
        <w:spacing w:after="0" w:line="3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Flat C, 19/F, Wing Cheong Commercial Building</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Nos 19-25 Jervois Street</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60"/>
          </w:cols>
          <w:pgMar w:left="440" w:top="382" w:right="1199" w:bottom="1440" w:gutter="0" w:footer="0" w:header="0"/>
        </w:sectPr>
      </w:pPr>
    </w:p>
    <w:bookmarkStart w:id="1" w:name="page2"/>
    <w:bookmarkEnd w:id="1"/>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previously disclosed, on May 5, 2022, Silicon Motion Technology Corporation, an exempted company with limited liability incorporated under the Law of the Cayman Islands (“</w:t>
      </w:r>
      <w:r>
        <w:rPr>
          <w:rFonts w:ascii="Arial" w:cs="Arial" w:eastAsia="Arial" w:hAnsi="Arial"/>
          <w:sz w:val="18"/>
          <w:szCs w:val="18"/>
          <w:u w:val="single" w:color="auto"/>
          <w:color w:val="auto"/>
        </w:rPr>
        <w:t>Silicon Motion</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MaxLinear, Inc., a Delaware corporation (“</w:t>
      </w:r>
      <w:r>
        <w:rPr>
          <w:rFonts w:ascii="Arial" w:cs="Arial" w:eastAsia="Arial" w:hAnsi="Arial"/>
          <w:sz w:val="18"/>
          <w:szCs w:val="18"/>
          <w:u w:val="single" w:color="auto"/>
          <w:color w:val="auto"/>
        </w:rPr>
        <w:t>MaxLinear</w:t>
      </w:r>
      <w:r>
        <w:rPr>
          <w:rFonts w:ascii="Arial" w:cs="Arial" w:eastAsia="Arial" w:hAnsi="Arial"/>
          <w:sz w:val="18"/>
          <w:szCs w:val="18"/>
          <w:color w:val="auto"/>
        </w:rPr>
        <w:t>”), and Shark Merger Sub, an exempted company with limited liability incorporated under the Law of the Cayman Islands and a wholly-owned subsidiary of MaxLinear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on the terms and subject to the conditions set forth therein, Merger Sub will merge with and into Silicon Motion (the “</w:t>
      </w:r>
      <w:r>
        <w:rPr>
          <w:rFonts w:ascii="Arial" w:cs="Arial" w:eastAsia="Arial" w:hAnsi="Arial"/>
          <w:sz w:val="18"/>
          <w:szCs w:val="18"/>
          <w:u w:val="single" w:color="auto"/>
          <w:color w:val="auto"/>
        </w:rPr>
        <w:t>Merger</w:t>
      </w:r>
      <w:r>
        <w:rPr>
          <w:rFonts w:ascii="Arial" w:cs="Arial" w:eastAsia="Arial" w:hAnsi="Arial"/>
          <w:sz w:val="18"/>
          <w:szCs w:val="18"/>
          <w:color w:val="auto"/>
        </w:rPr>
        <w:t>”), with Silicon Motion surviving the Merger as a wholly-owned subsidiary of MaxLinear.</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Merger remains subject to review and clearance by the State Administration for Market Regulation (“</w:t>
      </w:r>
      <w:r>
        <w:rPr>
          <w:rFonts w:ascii="Arial" w:cs="Arial" w:eastAsia="Arial" w:hAnsi="Arial"/>
          <w:sz w:val="18"/>
          <w:szCs w:val="18"/>
          <w:u w:val="single" w:color="auto"/>
          <w:color w:val="auto"/>
        </w:rPr>
        <w:t>SAMR</w:t>
      </w:r>
      <w:r>
        <w:rPr>
          <w:rFonts w:ascii="Arial" w:cs="Arial" w:eastAsia="Arial" w:hAnsi="Arial"/>
          <w:sz w:val="18"/>
          <w:szCs w:val="18"/>
          <w:color w:val="auto"/>
        </w:rPr>
        <w:t>”) in the People’s Republic of China. MaxLinear and Silicon Motion filed a simplified filing with SAMR on July 6, 2022. On August 31, 2022, SAMR advised the parties to refile under the normal procedure, which the parties intend to submit to SAMR as promptly as reasonably practicable. MaxLinear and Silicon Motion cannot predict with certainty the length of review under the normal procedure, but expect a final determination by SAMR in the second or third quarter of 2023, or even later.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as amended, and Section 21E of the Securities Exchange Act of 1934, as amended. These forward-looking statements are based on Silicon Motion’s and MaxLinear’s current expectations, estimates and projections about the expected date of closing of the proposed transaction and the potential benefits thereof, their businesses and industry, management’s beliefs and certain assumptions made by Silicon Motion and MaxLinear, all of which are subject to change. The forward-looking statements include, but are not limited to, statements about the expected timing of the Merger, the satisfaction or waiver of any conditions to the proposed Merger and other events relating to the proposed Merger, and, in some cases, you can identify forward-looking statements by terminology such as “may,” “will,” “should,” “expect,” “intend,” “plan,” “anticipate,” “believe,” “estimate,” “predict,” “potential,” “potentially,” “continue,” “could,” “seek,” “see,” “would,” “might,” “continue,” “target” or the negatives of these terms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anticipated timing of the SAMR review and final determination. These and other forward-looking statements are not guarantees of future results and are subject to risks, uncertainties and assumptions that could cause actual results to differ materially from those expressed in any forward-looking statements. Although such statements are based on Silicon Motion’s own information and information from other sources Silicon Motion believes to be reliable, you should not place undue reliance on them and caution must be exercised in relying on forward-looking statements. These statements involve risks and uncertainties, and actual results may differ materially from those expressed or implied in these forward-looking statements for a variety of reasons. Potential risks and uncertainties include, but are not limited to, the risk that the transaction may not be completed on the anticipated terms and timing, in a timely manner or at all, which may adversely affect Silicon Motion’s or MaxLinear’s respective business and the price of the ordinary shares, par value $0.01 per share, of Silicon Motion, Silicon Motion’s American Depositary Shares (ADSs) and shares of common stock, par value $0.0001, of MaxLinear (“MaxLinear Common Stock”); uncertainties as to the timing of the consummation of the transaction and the potential failure to satisfy the conditions to the consummation of the transaction, including the receipt of certain governmental and regulatory approvals, anticipated tax treatment, unforeseen liabilities, future capital expenditures, revenues, expenses, earnings, synergies, economic performance, indebtedness, financial condition, losses, future prospects, business and management strategies for the management, expansion and growth of the parties’ businesses and other conditions to the completion of the transaction; the occurrence of any event, change or other circumstances that could give rise to the termination of the Merger Agreement, including the receipt by Silicon Motion of an unsolicited proposal from a third party; the effect of the announcement or pendency of the transaction on Silicon Motion’s or MaxLinear’s respective business relationships, operating results, and business generally; expected benefits, including financial benefits, of the transaction may not be realized; integration of the acquisition post-closing may not occur as anticipated, and the combined company’s ability to achieve the growth prospects and synergies expected from the transaction, as well as delays, challenges and expenses associated with integrating the combined company’s existing businesses, may occur; litigation related to the Merger or otherwise; unanticipated</w:t>
      </w:r>
    </w:p>
    <w:p>
      <w:pPr>
        <w:sectPr>
          <w:pgSz w:w="11900" w:h="16838" w:orient="portrait"/>
          <w:cols w:equalWidth="0" w:num="1">
            <w:col w:w="11000"/>
          </w:cols>
          <w:pgMar w:left="440" w:top="274" w:right="45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restructuring costs may be incurred or undisclosed liabilities assumed; attempts to retain key personnel and customers may not succeed; risks related to diverting attention from the parties’ ongoing business, including current plans and operations; changes in tax regimes, legislation or government regulations affecting the acquisition or the parties or their businesses; economic, social or political conditions that could adversely affect the Merger or the parties, including trade and national security policies and export controls and executive orders relating thereto, and worldwide government economic policies, including trade relations between the United States and China and the military conflict in Ukraine and related sanctions against Russia and Belarus; unpredictability and severity of catastrophic events, including, but not limited to, acts of terrorism or outbreak of war or hostilities, as well as the parties’ response to any of the aforementioned factors; exposure to inflation, currency rate and interest rate fluctuations and risks associated with doing business locally and internationally, as well as fluctuations in the market prices of the parties’ traded securities; potential business uncertainty or adverse reactions or changes to business relationships resulting from the announcement or completion of the Merger; potential negative changes in general economic conditions and market developments in the regions or the industries in which the parties’ operate; the loss of one or more key customers or the significant reduction, postponement, rescheduling or cancellation of orders from one or more customers as a result or in anticipation of the Merger or otherwise; the parties’ respective customers’ sales outlook, purchasing patterns, and inventory adjustments based on consumer demands and general economic conditions; risks associated with the ongoing global outbreak of COVID-19, including, but not limited to, the emergence of variants to the original COVID-19 strain such as the Delta and Omicron variants and related private and public sector measures; Silicon Motion’s ability to provide a safe working environment for employees during the COVID-19 pandemic or any other public health crises, including pandemics or epidemics; Silicon Motion’s and MaxLinear’s abilities to implement their business strategies; pricing trends, including Silicon Motion’s and MaxLinear’s abilities to achieve economies of scale; uncertainty as to the long-term value of MaxLinear Common Stock; restrictions during the pendency of the proposed transaction that may impact Silicon Motion’s or MaxLinear’s ability to pursue certain business opportunities or strategic transactions; and the other risk factors discussed from time to time by Silicon Motion in the most recent Annual Report on Form 20-F and in any subsequent reports on Form 6-K, each of which is on file with or furnished to the Securities and Exchange Commission (the “SEC”) and available at the SEC’s website at www.sec.gov. SEC filings for Silicon Motion are available on Silicon Motion’s website at https://www.siliconmotion.com/investor. We assume no obligation to update any forward-looking statements, which apply only as of the date of this communication.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This Report of Foreign Private Issuer on Form 6-K is being made in respect of the proposed transaction. The proxy statement of Silicon Motion and prospectus of MaxLinear has been sent or given to the securityholders of Silicon Motion and contain important information about the proposed transaction and related matters. This communication is not a substitute for the proxy statement of Silicon Motion and prospectus of MaxLinear or any other document that may be filed or furnished by Silicon Motion or MaxLinear with the SEC or provided to Silicon Motion’s securityholders. Investors and securityholders are urged to read the proxy statement of Silicon Motion and prospectus of MaxLinear in its entirety and other relevant documents filed with or furnished to the SEC or provided to Silicon Motion’s securityholders in connection with the proposed transaction or incorporated by reference therein because they contain important information about the proposed transaction and the parties to the proposed transaction.</w:t>
      </w:r>
    </w:p>
    <w:p>
      <w:pPr>
        <w:sectPr>
          <w:pgSz w:w="11900" w:h="16838" w:orient="portrait"/>
          <w:cols w:equalWidth="0" w:num="1">
            <w:col w:w="10980"/>
          </w:cols>
          <w:pgMar w:left="440" w:top="274" w:right="47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SILICON MOTION TECHNOLOGY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Riyadh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Riyadh Lai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2022</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2022-09-01T05:28:25Z</dcterms:created>
  <dcterms:modified xsi:type="dcterms:W3CDTF">2022-09-01T05:28:25Z</dcterms:modified>
</cp:coreProperties>
</file>