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2224d6k.htm"/>
      <w:bookmarkStart w:id="1" w:name="ksd142224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74"/>
        <w:gridCol w:w="704"/>
        <w:gridCol w:w="8627"/>
      </w:tblGrid>
      <w:tr>
        <w:trPr/>
        <w:tc>
          <w:tcPr>
            <w:tcW w:w="874" w:type="dxa"/>
            <w:tcBorders/>
            <w:vAlign w:val="center"/>
          </w:tcPr>
          <w:p>
            <w:pPr>
              <w:pStyle w:val="TableContents"/>
              <w:bidi w:val="0"/>
              <w:spacing w:before="0" w:after="283"/>
              <w:jc w:val="left"/>
              <w:rPr>
                <w:sz w:val="4"/>
                <w:szCs w:val="4"/>
              </w:rPr>
            </w:pPr>
            <w:r>
              <w:rPr>
                <w:sz w:val="4"/>
                <w:szCs w:val="4"/>
              </w:rPr>
            </w:r>
          </w:p>
        </w:tc>
        <w:tc>
          <w:tcPr>
            <w:tcW w:w="704" w:type="dxa"/>
            <w:tcBorders/>
            <w:vAlign w:val="bottom"/>
          </w:tcPr>
          <w:p>
            <w:pPr>
              <w:pStyle w:val="TableContents"/>
              <w:bidi w:val="0"/>
              <w:spacing w:before="0" w:after="283"/>
              <w:jc w:val="left"/>
              <w:rPr>
                <w:sz w:val="4"/>
                <w:szCs w:val="4"/>
              </w:rPr>
            </w:pPr>
            <w:r>
              <w:rPr>
                <w:sz w:val="4"/>
                <w:szCs w:val="4"/>
              </w:rPr>
            </w:r>
          </w:p>
        </w:tc>
        <w:tc>
          <w:tcPr>
            <w:tcW w:w="8627" w:type="dxa"/>
            <w:tcBorders/>
            <w:vAlign w:val="center"/>
          </w:tcPr>
          <w:p>
            <w:pPr>
              <w:pStyle w:val="TableContents"/>
              <w:bidi w:val="0"/>
              <w:spacing w:before="0" w:after="283"/>
              <w:jc w:val="left"/>
              <w:rPr>
                <w:sz w:val="4"/>
                <w:szCs w:val="4"/>
              </w:rPr>
            </w:pPr>
            <w:r>
              <w:rPr>
                <w:sz w:val="4"/>
                <w:szCs w:val="4"/>
              </w:rPr>
            </w:r>
          </w:p>
        </w:tc>
      </w:tr>
      <w:tr>
        <w:trPr/>
        <w:tc>
          <w:tcPr>
            <w:tcW w:w="8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4" w:type="dxa"/>
            <w:tcBorders/>
            <w:vAlign w:val="bottom"/>
          </w:tcPr>
          <w:p>
            <w:pPr>
              <w:pStyle w:val="TableContents"/>
              <w:bidi w:val="0"/>
              <w:spacing w:before="0" w:after="283"/>
              <w:jc w:val="left"/>
              <w:rPr/>
            </w:pPr>
            <w:r>
              <w:rPr/>
              <w:t>  </w:t>
            </w:r>
          </w:p>
        </w:tc>
        <w:tc>
          <w:tcPr>
            <w:tcW w:w="862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4" w:type="dxa"/>
            <w:tcBorders/>
            <w:vAlign w:val="center"/>
          </w:tcPr>
          <w:p>
            <w:pPr>
              <w:pStyle w:val="TableContents"/>
              <w:bidi w:val="0"/>
              <w:spacing w:before="0" w:after="283"/>
              <w:jc w:val="left"/>
              <w:rPr>
                <w:sz w:val="4"/>
                <w:szCs w:val="4"/>
              </w:rPr>
            </w:pPr>
            <w:r>
              <w:rPr>
                <w:sz w:val="4"/>
                <w:szCs w:val="4"/>
              </w:rPr>
            </w:r>
          </w:p>
        </w:tc>
        <w:tc>
          <w:tcPr>
            <w:tcW w:w="9331"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99.1</w:t>
            </w:r>
          </w:p>
        </w:tc>
        <w:tc>
          <w:tcPr>
            <w:tcW w:w="704" w:type="dxa"/>
            <w:tcBorders/>
            <w:vAlign w:val="bottom"/>
          </w:tcPr>
          <w:p>
            <w:pPr>
              <w:pStyle w:val="TableContents"/>
              <w:bidi w:val="0"/>
              <w:spacing w:before="0" w:after="283"/>
              <w:jc w:val="left"/>
              <w:rPr/>
            </w:pPr>
            <w:r>
              <w:rPr/>
              <w:t>  </w:t>
            </w:r>
          </w:p>
        </w:tc>
        <w:tc>
          <w:tcPr>
            <w:tcW w:w="8627" w:type="dxa"/>
            <w:tcBorders/>
          </w:tcPr>
          <w:p>
            <w:pPr>
              <w:pStyle w:val="TableContents"/>
              <w:bidi w:val="0"/>
              <w:spacing w:before="0" w:after="283"/>
              <w:jc w:val="left"/>
              <w:rPr/>
            </w:pPr>
            <w:hyperlink w:anchor="d142224dex991.htm">
              <w:r>
                <w:rPr>
                  <w:rStyle w:val="InternetLink"/>
                </w:rPr>
                <w:t xml:space="preserve">Press Release issued by the Company on July 24, 2026 </w:t>
              </w:r>
            </w:hyperlink>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July 24,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2" w:name="d142224dex991.htm"/>
      <w:bookmarkStart w:id="3" w:name="ksd142224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8478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5048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Silicon Motion Confirms Quarterly Dividend </w:t>
      </w:r>
    </w:p>
    <w:p>
      <w:pPr>
        <w:pStyle w:val="TextBody"/>
        <w:bidi w:val="0"/>
        <w:spacing w:before="120" w:after="0"/>
        <w:jc w:val="left"/>
        <w:rPr>
          <w:rFonts w:ascii="Times New Roman" w:hAnsi="Times New Roman"/>
          <w:sz w:val="20"/>
        </w:rPr>
      </w:pPr>
      <w:r>
        <w:rPr>
          <w:rFonts w:ascii="Times New Roman" w:hAnsi="Times New Roman"/>
          <w:sz w:val="20"/>
        </w:rPr>
        <w:t xml:space="preserve">TAIPEI, Taiwan and MILPITAS, Calif., July 24, 2026 –Silicon Motion Technology Corporation (NasdaqGS: SIMO)(“Silicon Motion” or the “Company”), a global leader in designing and marketing NAND flash controllers for solid state storage devices, confirms today its quarterly cash dividend. </w:t>
      </w:r>
    </w:p>
    <w:p>
      <w:pPr>
        <w:pStyle w:val="TextBody"/>
        <w:bidi w:val="0"/>
        <w:spacing w:before="240" w:after="0"/>
        <w:jc w:val="left"/>
        <w:rPr>
          <w:rFonts w:ascii="Times New Roman" w:hAnsi="Times New Roman"/>
          <w:sz w:val="20"/>
        </w:rPr>
      </w:pPr>
      <w:r>
        <w:rPr>
          <w:rFonts w:ascii="Times New Roman" w:hAnsi="Times New Roman"/>
          <w:sz w:val="20"/>
        </w:rPr>
        <w:t xml:space="preserve">On October 27, 2025, the Board of Directors of the Company declared payment of an annual dividend of US$2.00 per ADS1, equivalent to US$0.50 per ordinary share, which will be paid in four quarterly installments of $0.50 per ADS, equivalent to US$0.125 per ordinary share. According to the previously announced record and payment dates, the next quarterly installment will be paid on August 20, 2026 to all shareholders of record on August 6, 2026. Our depository bank’s DR Books will be closed for issuance and cancellation on August 6, 2026. </w:t>
      </w:r>
    </w:p>
    <w:p>
      <w:pPr>
        <w:pStyle w:val="TextBody"/>
        <w:bidi w:val="0"/>
        <w:spacing w:before="240" w:after="0"/>
        <w:jc w:val="left"/>
        <w:rPr>
          <w:rFonts w:ascii="Times New Roman" w:hAnsi="Times New Roman"/>
          <w:sz w:val="20"/>
        </w:rPr>
      </w:pPr>
      <w:r>
        <w:rPr>
          <w:rFonts w:ascii="Times New Roman" w:hAnsi="Times New Roman"/>
          <w:sz w:val="20"/>
        </w:rPr>
        <w:t xml:space="preserve">The declaration and payment of future cash dividends are subject to the Board’s continuing determination that the payment of dividends is in the best interests of the Company’s shareholders and are in compliance with all laws and agreements of the Company applicable to the declaration and payment of cash dividends. </w:t>
      </w:r>
    </w:p>
    <w:p>
      <w:pPr>
        <w:pStyle w:val="TextBody"/>
        <w:bidi w:val="0"/>
        <w:spacing w:before="360" w:after="0"/>
        <w:jc w:val="left"/>
        <w:rPr>
          <w:rFonts w:ascii="Times New Roman" w:hAnsi="Times New Roman"/>
          <w:b/>
          <w:sz w:val="20"/>
        </w:rPr>
      </w:pPr>
      <w:r>
        <w:rPr>
          <w:rFonts w:ascii="Times New Roman" w:hAnsi="Times New Roman"/>
          <w:b/>
          <w:sz w:val="20"/>
        </w:rPr>
        <w:t xml:space="preserve">ABOUT SILICON MOTION: </w:t>
      </w:r>
    </w:p>
    <w:p>
      <w:pPr>
        <w:pStyle w:val="TextBody"/>
        <w:bidi w:val="0"/>
        <w:spacing w:before="120" w:after="0"/>
        <w:jc w:val="left"/>
        <w:rPr>
          <w:rFonts w:ascii="Times New Roman" w:hAnsi="Times New Roman"/>
          <w:sz w:val="20"/>
        </w:rPr>
      </w:pPr>
      <w:r>
        <w:rPr>
          <w:rFonts w:ascii="Times New Roman" w:hAnsi="Times New Roman"/>
          <w:sz w:val="20"/>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 and specialized industrial and automotive SSD solutions. Our customers include most of the NAND flash vendors, storage device module makers and leading OEMs. For further information on Silicon Motion, visit us at www.siliconmotion.com.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ADS is equivalent to four ordinary shares. </w:t>
            </w:r>
          </w:p>
        </w:tc>
      </w:tr>
    </w:tbl>
    <w:p>
      <w:pPr>
        <w:pStyle w:val="HorizontalLine"/>
        <w:pBdr>
          <w:bottom w:val="double" w:sz="6" w:space="0" w:color="808080"/>
        </w:pBdr>
        <w:bidi w:val="0"/>
        <w:jc w:val="left"/>
        <w:rPr/>
      </w:pPr>
      <w:r>
        <w:br w:type="page"/>
      </w:r>
      <w:r>
        <w:rPr/>
      </w:r>
    </w:p>
    <w:p>
      <w:pPr>
        <w:pStyle w:val="TextBody"/>
        <w:bidi w:val="0"/>
        <w:spacing w:before="0" w:after="0"/>
        <w:jc w:val="left"/>
        <w:rPr/>
      </w:pPr>
      <w:r>
        <w:rPr/>
        <w:drawing>
          <wp:inline distT="0" distB="0" distL="0" distR="0">
            <wp:extent cx="1847850" cy="504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47850" cy="5048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nature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 and general economic conditions; any potential impairment charges that may be incurred related to businesses previously acquired or divested in the future; the risk that the anticipated benefits from our PCIe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1"/>
        <w:gridCol w:w="120"/>
        <w:gridCol w:w="4814"/>
      </w:tblGrid>
      <w:tr>
        <w:trPr/>
        <w:tc>
          <w:tcPr>
            <w:tcW w:w="52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14" w:type="dxa"/>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b/>
              </w:rPr>
            </w:pPr>
            <w:r>
              <w:rPr>
                <w:b/>
              </w:rPr>
              <w:t>Investor Contact:</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b/>
              </w:rPr>
            </w:pPr>
            <w:r>
              <w:rPr>
                <w:b/>
              </w:rPr>
              <w:t>Investor Contact:</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Tom Sepenzis</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Selina Hsieh</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Vice President of Investor Relations &amp; Strategy</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Investor Relations</w:t>
            </w:r>
          </w:p>
        </w:tc>
      </w:tr>
      <w:tr>
        <w:trPr>
          <w:trHeight w:val="120" w:hRule="atLeast"/>
        </w:trPr>
        <w:tc>
          <w:tcPr>
            <w:tcW w:w="5271" w:type="dxa"/>
            <w:tcBorders/>
            <w:vAlign w:val="center"/>
          </w:tcPr>
          <w:p>
            <w:pPr>
              <w:pStyle w:val="TableContents"/>
              <w:bidi w:val="0"/>
              <w:spacing w:before="0" w:after="283"/>
              <w:jc w:val="left"/>
              <w:rPr>
                <w:sz w:val="4"/>
                <w:szCs w:val="4"/>
              </w:rPr>
            </w:pPr>
            <w:r>
              <w:rPr>
                <w:sz w:val="4"/>
                <w:szCs w:val="4"/>
              </w:rPr>
            </w:r>
          </w:p>
        </w:tc>
        <w:tc>
          <w:tcPr>
            <w:tcW w:w="4934" w:type="dxa"/>
            <w:gridSpan w:val="2"/>
            <w:tcBorders/>
            <w:vAlign w:val="center"/>
          </w:tcPr>
          <w:p>
            <w:pPr>
              <w:pStyle w:val="TableContents"/>
              <w:bidi w:val="0"/>
              <w:spacing w:before="0" w:after="283"/>
              <w:jc w:val="left"/>
              <w:rPr>
                <w:sz w:val="4"/>
                <w:szCs w:val="4"/>
              </w:rPr>
            </w:pPr>
            <w:r>
              <w:rPr>
                <w:sz w:val="4"/>
                <w:szCs w:val="4"/>
              </w:rPr>
            </w:r>
          </w:p>
        </w:tc>
      </w:tr>
      <w:tr>
        <w:trPr/>
        <w:tc>
          <w:tcPr>
            <w:tcW w:w="5271" w:type="dxa"/>
            <w:tcBorders/>
          </w:tcPr>
          <w:p>
            <w:pPr>
              <w:pStyle w:val="TableContents"/>
              <w:bidi w:val="0"/>
              <w:spacing w:before="0" w:after="283"/>
              <w:jc w:val="left"/>
              <w:rPr/>
            </w:pPr>
            <w:r>
              <w:rPr/>
              <w:t xml:space="preserve">E-mail: </w:t>
            </w:r>
            <w:r>
              <w:rPr>
                <w:u w:val="single"/>
              </w:rPr>
              <w:t>tsepenzis@siliconmotion.com</w:t>
            </w:r>
          </w:p>
        </w:tc>
        <w:tc>
          <w:tcPr>
            <w:tcW w:w="120" w:type="dxa"/>
            <w:tcBorders/>
            <w:vAlign w:val="bottom"/>
          </w:tcPr>
          <w:p>
            <w:pPr>
              <w:pStyle w:val="TableContents"/>
              <w:bidi w:val="0"/>
              <w:spacing w:before="0" w:after="283"/>
              <w:jc w:val="left"/>
              <w:rPr/>
            </w:pPr>
            <w:r>
              <w:rPr/>
              <w:t>  </w:t>
            </w:r>
          </w:p>
        </w:tc>
        <w:tc>
          <w:tcPr>
            <w:tcW w:w="4814" w:type="dxa"/>
            <w:tcBorders/>
          </w:tcPr>
          <w:p>
            <w:pPr>
              <w:pStyle w:val="TableContents"/>
              <w:bidi w:val="0"/>
              <w:spacing w:before="0" w:after="283"/>
              <w:jc w:val="left"/>
              <w:rPr/>
            </w:pPr>
            <w:r>
              <w:rPr/>
              <w:t xml:space="preserve">E-mail: </w:t>
            </w:r>
            <w:r>
              <w:rPr>
                <w:u w:val="single"/>
              </w:rPr>
              <w:t>ir@siliconmotion.com</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Minnie Lin </w:t>
      </w:r>
    </w:p>
    <w:p>
      <w:pPr>
        <w:pStyle w:val="TextBody"/>
        <w:bidi w:val="0"/>
        <w:spacing w:before="0" w:after="0"/>
        <w:jc w:val="left"/>
        <w:rPr>
          <w:rFonts w:ascii="Times New Roman" w:hAnsi="Times New Roman"/>
          <w:sz w:val="20"/>
        </w:rPr>
      </w:pPr>
      <w:r>
        <w:rPr>
          <w:rFonts w:ascii="Times New Roman" w:hAnsi="Times New Roman"/>
          <w:sz w:val="20"/>
        </w:rPr>
        <w:t xml:space="preserve">Director of Marketing Communication Department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minnie.lin@siliconmotion.com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1165</Words>
  <Characters>6547</Characters>
  <CharactersWithSpaces>7739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