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2873d6k.htm"/>
      <w:bookmarkStart w:id="1" w:name="ksd10287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April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000-51380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240" w:after="0"/>
        <w:jc w:val="left"/>
        <w:rPr>
          <w:rFonts w:ascii="Times New Roman" w:hAnsi="Times New Roman"/>
          <w:sz w:val="20"/>
        </w:rPr>
      </w:pPr>
      <w:r>
        <w:rPr>
          <w:rFonts w:ascii="Times New Roman" w:hAnsi="Times New Roman"/>
          <w:sz w:val="20"/>
        </w:rPr>
        <w:t xml:space="preserve">This Form 6-K is hereby incorporated by reference into the Company’s Registration Statement on Form S-8 filed with the U.S. Securities and Exchange Commission on June 4, 2025 (Registration No. 333-287771).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19"/>
        <w:gridCol w:w="683"/>
        <w:gridCol w:w="8303"/>
      </w:tblGrid>
      <w:tr>
        <w:trPr/>
        <w:tc>
          <w:tcPr>
            <w:tcW w:w="1219" w:type="dxa"/>
            <w:tcBorders/>
            <w:vAlign w:val="center"/>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8303" w:type="dxa"/>
            <w:tcBorders/>
            <w:vAlign w:val="center"/>
          </w:tcPr>
          <w:p>
            <w:pPr>
              <w:pStyle w:val="TableContents"/>
              <w:bidi w:val="0"/>
              <w:spacing w:before="0" w:after="283"/>
              <w:jc w:val="left"/>
              <w:rPr>
                <w:sz w:val="4"/>
                <w:szCs w:val="4"/>
              </w:rPr>
            </w:pPr>
            <w:r>
              <w:rPr>
                <w:sz w:val="4"/>
                <w:szCs w:val="4"/>
              </w:rPr>
            </w:r>
          </w:p>
        </w:tc>
      </w:tr>
      <w:tr>
        <w:trPr/>
        <w:tc>
          <w:tcPr>
            <w:tcW w:w="1219" w:type="dxa"/>
            <w:tcBorders/>
            <w:vAlign w:val="bottom"/>
          </w:tcPr>
          <w:p>
            <w:pPr>
              <w:pStyle w:val="TableContents"/>
              <w:bidi w:val="0"/>
              <w:spacing w:before="0" w:after="283"/>
              <w:jc w:val="center"/>
              <w:rPr>
                <w:b/>
              </w:rPr>
            </w:pPr>
            <w:r>
              <w:rPr>
                <w:b/>
              </w:rPr>
              <w:t>Exhibit No.</w:t>
            </w:r>
          </w:p>
        </w:tc>
        <w:tc>
          <w:tcPr>
            <w:tcW w:w="683" w:type="dxa"/>
            <w:tcBorders/>
            <w:vAlign w:val="bottom"/>
          </w:tcPr>
          <w:p>
            <w:pPr>
              <w:pStyle w:val="TableContents"/>
              <w:bidi w:val="0"/>
              <w:spacing w:before="0" w:after="283"/>
              <w:jc w:val="left"/>
              <w:rPr/>
            </w:pPr>
            <w:r>
              <w:rPr/>
              <w:t>  </w:t>
            </w:r>
          </w:p>
        </w:tc>
        <w:tc>
          <w:tcPr>
            <w:tcW w:w="83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219" w:type="dxa"/>
            <w:tcBorders/>
            <w:vAlign w:val="center"/>
          </w:tcPr>
          <w:p>
            <w:pPr>
              <w:pStyle w:val="TableContents"/>
              <w:bidi w:val="0"/>
              <w:spacing w:before="0" w:after="283"/>
              <w:jc w:val="left"/>
              <w:rPr>
                <w:sz w:val="4"/>
                <w:szCs w:val="4"/>
              </w:rPr>
            </w:pPr>
            <w:r>
              <w:rPr>
                <w:sz w:val="4"/>
                <w:szCs w:val="4"/>
              </w:rPr>
            </w:r>
          </w:p>
        </w:tc>
        <w:tc>
          <w:tcPr>
            <w:tcW w:w="8986" w:type="dxa"/>
            <w:gridSpan w:val="2"/>
            <w:tcBorders/>
            <w:vAlign w:val="center"/>
          </w:tcPr>
          <w:p>
            <w:pPr>
              <w:pStyle w:val="TableContents"/>
              <w:bidi w:val="0"/>
              <w:spacing w:before="0" w:after="283"/>
              <w:jc w:val="left"/>
              <w:rPr>
                <w:sz w:val="4"/>
                <w:szCs w:val="4"/>
              </w:rPr>
            </w:pPr>
            <w:r>
              <w:rPr>
                <w:sz w:val="4"/>
                <w:szCs w:val="4"/>
              </w:rPr>
            </w:r>
          </w:p>
        </w:tc>
      </w:tr>
      <w:tr>
        <w:trPr/>
        <w:tc>
          <w:tcPr>
            <w:tcW w:w="1219" w:type="dxa"/>
            <w:tcBorders/>
          </w:tcPr>
          <w:p>
            <w:pPr>
              <w:pStyle w:val="TableContents"/>
              <w:bidi w:val="0"/>
              <w:spacing w:before="0" w:after="283"/>
              <w:jc w:val="left"/>
              <w:rPr/>
            </w:pPr>
            <w:r>
              <w:rPr/>
              <w:t>99.1</w:t>
            </w:r>
          </w:p>
        </w:tc>
        <w:tc>
          <w:tcPr>
            <w:tcW w:w="683" w:type="dxa"/>
            <w:tcBorders/>
            <w:vAlign w:val="bottom"/>
          </w:tcPr>
          <w:p>
            <w:pPr>
              <w:pStyle w:val="TableContents"/>
              <w:bidi w:val="0"/>
              <w:spacing w:before="0" w:after="283"/>
              <w:jc w:val="left"/>
              <w:rPr/>
            </w:pPr>
            <w:r>
              <w:rPr/>
              <w:t>  </w:t>
            </w:r>
          </w:p>
        </w:tc>
        <w:tc>
          <w:tcPr>
            <w:tcW w:w="8303" w:type="dxa"/>
            <w:tcBorders/>
          </w:tcPr>
          <w:p>
            <w:pPr>
              <w:pStyle w:val="TableContents"/>
              <w:bidi w:val="0"/>
              <w:spacing w:before="0" w:after="283"/>
              <w:jc w:val="left"/>
              <w:rPr/>
            </w:pPr>
            <w:hyperlink w:anchor="d102873dex991.htm">
              <w:r>
                <w:rPr>
                  <w:rStyle w:val="InternetLink"/>
                </w:rPr>
                <w:t xml:space="preserve">Press Release issued by the Company on April 24, 2026 </w:t>
              </w:r>
            </w:hyperlink>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vAlign w:val="bottom"/>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vAlign w:val="bottom"/>
          </w:tcPr>
          <w:p>
            <w:pPr>
              <w:pStyle w:val="TableContents"/>
              <w:bidi w:val="0"/>
              <w:spacing w:before="0" w:after="283"/>
              <w:jc w:val="left"/>
              <w:rPr/>
            </w:pPr>
            <w:r>
              <w:rPr/>
              <w:t>Date: April 24, 2026</w:t>
            </w:r>
          </w:p>
        </w:tc>
        <w:tc>
          <w:tcPr>
            <w:tcW w:w="11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506" w:type="dxa"/>
            <w:tcBorders>
              <w:bottom w:val="single" w:sz="2" w:space="0" w:color="000000"/>
            </w:tcBorders>
            <w:tcMar>
              <w:bottom w:w="28" w:type="dxa"/>
            </w:tcMar>
            <w:vAlign w:val="bottom"/>
          </w:tcPr>
          <w:p>
            <w:pPr>
              <w:pStyle w:val="TableContents"/>
              <w:bidi w:val="0"/>
              <w:spacing w:before="0" w:after="283"/>
              <w:jc w:val="left"/>
              <w:rPr/>
            </w:pPr>
            <w:r>
              <w:rPr/>
              <w:t>/s/ Jason Tsai</w:t>
            </w:r>
          </w:p>
        </w:tc>
      </w:tr>
      <w:tr>
        <w:trPr/>
        <w:tc>
          <w:tcPr>
            <w:tcW w:w="431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vAlign w:val="bottom"/>
          </w:tcPr>
          <w:p>
            <w:pPr>
              <w:pStyle w:val="TableContents"/>
              <w:bidi w:val="0"/>
              <w:spacing w:before="0" w:after="283"/>
              <w:jc w:val="left"/>
              <w:rPr/>
            </w:pPr>
            <w:r>
              <w:rPr/>
              <w:t>Jason Tsai</w:t>
            </w:r>
          </w:p>
        </w:tc>
      </w:tr>
      <w:tr>
        <w:trPr/>
        <w:tc>
          <w:tcPr>
            <w:tcW w:w="431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02873dex991.htm"/>
      <w:bookmarkStart w:id="3" w:name="ksd10287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17370" cy="4552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7370" cy="4552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Silicon Motion Confirms Quarterly Dividend </w:t>
      </w:r>
    </w:p>
    <w:p>
      <w:pPr>
        <w:pStyle w:val="TextBody"/>
        <w:bidi w:val="0"/>
        <w:spacing w:before="240" w:after="0"/>
        <w:jc w:val="left"/>
        <w:rPr>
          <w:rFonts w:ascii="Times New Roman" w:hAnsi="Times New Roman"/>
          <w:sz w:val="20"/>
        </w:rPr>
      </w:pPr>
      <w:r>
        <w:rPr>
          <w:rFonts w:ascii="Times New Roman" w:hAnsi="Times New Roman"/>
          <w:sz w:val="20"/>
        </w:rPr>
        <w:t xml:space="preserve">TAIPEI, Taiwan and MILPITAS, Calif., April 24, 2026 –Silicon Motion Technology Corporation (NasdaqGS: SIMO)(“Silicon Motion” or the “Company”), a global leader in designing and marketing NAND flash controllers for solid state storage devices, confirms today its quarterly cash dividend.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Board of Directors of the Company declared payment of an annual dividend of US$2.00 per ADS1, equivalent to US$0.50 per ordinary share, which will be paid in four quarterly installments of $0.50 per ADS, equivalent to US$0.125 per ordinary share. According to the previously announced record and payment dates, the next quarterly installment will be paid on May 21, 2026 to all shareholders of record on May 7, 2026. Our depository bank’s DR Books will be closed for issuance and cancellation on May 7, 2026. </w:t>
      </w:r>
    </w:p>
    <w:p>
      <w:pPr>
        <w:pStyle w:val="TextBody"/>
        <w:bidi w:val="0"/>
        <w:spacing w:before="240" w:after="0"/>
        <w:jc w:val="left"/>
        <w:rPr>
          <w:rFonts w:ascii="Times New Roman" w:hAnsi="Times New Roman"/>
          <w:sz w:val="20"/>
        </w:rPr>
      </w:pPr>
      <w:r>
        <w:rPr>
          <w:rFonts w:ascii="Times New Roman" w:hAnsi="Times New Roman"/>
          <w:sz w:val="20"/>
        </w:rPr>
        <w:t xml:space="preserve">The declaration and payment of future cash dividends are subject to the Board’s continuing determination that the payment of dividends is in the best interests of the Company’s shareholders and are in compliance with all laws and agreements of the Company applicable to the declaration and payment of cash 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ABOUT SILICON MOTION: </w:t>
      </w:r>
    </w:p>
    <w:p>
      <w:pPr>
        <w:pStyle w:val="TextBody"/>
        <w:bidi w:val="0"/>
        <w:spacing w:before="120" w:after="0"/>
        <w:jc w:val="left"/>
        <w:rPr>
          <w:rFonts w:ascii="Times New Roman" w:hAnsi="Times New Roman"/>
          <w:sz w:val="20"/>
        </w:rPr>
      </w:pPr>
      <w:r>
        <w:rPr>
          <w:rFonts w:ascii="Times New Roman" w:hAnsi="Times New Roman"/>
          <w:sz w:val="20"/>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 and specialized industrial and automotive SSD solutions. Our customers include most of the NAND flash vendors, storage device module makers and leading OEMs. For further information on Silicon Motion, visit us at www.siliconmotion.com.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contains “forward-looking statements” within the meaning of Section 27A of the Securities Act of 1933, as amended, and Section 21E of the Securities Exchange Act of 1934, as amended.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ADS is equivalent to four ordinary shares.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17370" cy="4552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17370" cy="4552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from one or more customers; general economic conditions or conditions in the semiconductor or consumer electronics markets; the impact of inflation on our business and customer’s businesses and any effect this has on economic activity in the markets in which we operate; the functionalities and performance of our information technology (“IT”) systems, which are subject to cybersecurity threats and which support our critical operational activities, and any breaches of our IT systems or those of our customers, suppliers, partners and providers of third-party licensed technology; the effects on our business and our customer’s business taking into account the ongoing U.S.-China tariffs and trade disputes; the uncertainties associated with any future global or regional pandemic; the continuing tensions between Taiwan and China, including enhanced military activities; decreases in the overall average selling prices of our products; changes in the relative sales mix of our products; changes in our cost of finished goods; supply chain disruptions that have affected us and our industry as well as other industries on a global 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customers’ sales outlook, purchasing patterns, and inventory adjustments based on consumer demands and general economic conditions; any potential impairment charges that may be incurred related to businesses previously acquired or divested in the future;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U.S. Securities and Exchange Commission, including our Annual Report on Form 20-F filed with the U.S. Securities and Exchange Commission on April 30, 2025. Other than as required under the securities laws, we do not intend, and do not undertake any obligation to, update or revise any forward-looking statements, which apply only as of the date of this news release.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1"/>
        <w:gridCol w:w="120"/>
        <w:gridCol w:w="4814"/>
      </w:tblGrid>
      <w:tr>
        <w:trPr/>
        <w:tc>
          <w:tcPr>
            <w:tcW w:w="52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14" w:type="dxa"/>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b/>
              </w:rPr>
            </w:pPr>
            <w:r>
              <w:rPr>
                <w:b/>
              </w:rPr>
              <w:t>Investor Contact:</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b/>
              </w:rPr>
            </w:pPr>
            <w:r>
              <w:rPr>
                <w:b/>
              </w:rPr>
              <w:t>Investor Contact:</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pPr>
            <w:r>
              <w:rPr/>
              <w:t>Tom Sepenzis</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Selina Hsieh</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pPr>
            <w:r>
              <w:rPr/>
              <w:t>Senior Director of IR &amp; Strategy</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Investor Relations</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pPr>
            <w:r>
              <w:rPr/>
              <w:t xml:space="preserve">E-mail: </w:t>
            </w:r>
            <w:r>
              <w:rPr>
                <w:u w:val="single"/>
              </w:rPr>
              <w:t>tsepenzis@siliconmotion.com</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 xml:space="preserve">E-mail: </w:t>
            </w:r>
            <w:r>
              <w:rPr>
                <w:u w:val="single"/>
              </w:rPr>
              <w:t>ir@siliconmotion.com</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Minnie Lin </w:t>
      </w:r>
    </w:p>
    <w:p>
      <w:pPr>
        <w:pStyle w:val="TextBody"/>
        <w:bidi w:val="0"/>
        <w:spacing w:before="0" w:after="0"/>
        <w:jc w:val="left"/>
        <w:rPr>
          <w:rFonts w:ascii="Times New Roman" w:hAnsi="Times New Roman"/>
          <w:sz w:val="20"/>
        </w:rPr>
      </w:pPr>
      <w:r>
        <w:rPr>
          <w:rFonts w:ascii="Times New Roman" w:hAnsi="Times New Roman"/>
          <w:sz w:val="20"/>
        </w:rPr>
        <w:t xml:space="preserve">Director of Marketing Communication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minnie.lin@siliconmotion.com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1084</Words>
  <Characters>6085</Characters>
  <CharactersWithSpaces>7201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