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913d6k.htm"/>
      <w:bookmarkStart w:id="1" w:name="ksd11491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000-51380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Silicon Motion Technology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Flat C, 19/F, Wing Cheong Commercial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Nos 19-25 Jervois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This Form 6-K is hereby incorporated by reference into the Company’s Registration Statement on Form S-8 filed with the U.S. Securities and Exchange Commission on June 4, 2025 (Registration No. 333-287771).</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19"/>
        <w:gridCol w:w="683"/>
        <w:gridCol w:w="8303"/>
      </w:tblGrid>
      <w:tr>
        <w:trPr/>
        <w:tc>
          <w:tcPr>
            <w:tcW w:w="1219" w:type="dxa"/>
            <w:tcBorders/>
            <w:vAlign w:val="center"/>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8303" w:type="dxa"/>
            <w:tcBorders/>
            <w:vAlign w:val="center"/>
          </w:tcPr>
          <w:p>
            <w:pPr>
              <w:pStyle w:val="TableContents"/>
              <w:bidi w:val="0"/>
              <w:spacing w:before="0" w:after="283"/>
              <w:jc w:val="left"/>
              <w:rPr>
                <w:sz w:val="4"/>
                <w:szCs w:val="4"/>
              </w:rPr>
            </w:pPr>
            <w:r>
              <w:rPr>
                <w:sz w:val="4"/>
                <w:szCs w:val="4"/>
              </w:rPr>
            </w:r>
          </w:p>
        </w:tc>
      </w:tr>
      <w:tr>
        <w:trPr/>
        <w:tc>
          <w:tcPr>
            <w:tcW w:w="1219"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83" w:type="dxa"/>
            <w:tcBorders/>
            <w:vAlign w:val="bottom"/>
          </w:tcPr>
          <w:p>
            <w:pPr>
              <w:pStyle w:val="TableContents"/>
              <w:bidi w:val="0"/>
              <w:spacing w:before="0" w:after="283"/>
              <w:jc w:val="left"/>
              <w:rPr/>
            </w:pPr>
            <w:r>
              <w:rPr/>
              <w:t>  </w:t>
            </w:r>
          </w:p>
        </w:tc>
        <w:tc>
          <w:tcPr>
            <w:tcW w:w="83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219" w:type="dxa"/>
            <w:tcBorders/>
            <w:vAlign w:val="center"/>
          </w:tcPr>
          <w:p>
            <w:pPr>
              <w:pStyle w:val="TableContents"/>
              <w:bidi w:val="0"/>
              <w:spacing w:before="0" w:after="283"/>
              <w:jc w:val="left"/>
              <w:rPr>
                <w:sz w:val="4"/>
                <w:szCs w:val="4"/>
              </w:rPr>
            </w:pPr>
            <w:r>
              <w:rPr>
                <w:sz w:val="4"/>
                <w:szCs w:val="4"/>
              </w:rPr>
            </w:r>
          </w:p>
        </w:tc>
        <w:tc>
          <w:tcPr>
            <w:tcW w:w="8986" w:type="dxa"/>
            <w:gridSpan w:val="2"/>
            <w:tcBorders/>
            <w:vAlign w:val="center"/>
          </w:tcPr>
          <w:p>
            <w:pPr>
              <w:pStyle w:val="TableContents"/>
              <w:bidi w:val="0"/>
              <w:spacing w:before="0" w:after="283"/>
              <w:jc w:val="left"/>
              <w:rPr>
                <w:sz w:val="4"/>
                <w:szCs w:val="4"/>
              </w:rPr>
            </w:pPr>
            <w:r>
              <w:rPr>
                <w:sz w:val="4"/>
                <w:szCs w:val="4"/>
              </w:rPr>
            </w:r>
          </w:p>
        </w:tc>
      </w:tr>
      <w:tr>
        <w:trPr/>
        <w:tc>
          <w:tcPr>
            <w:tcW w:w="1219" w:type="dxa"/>
            <w:tcBorders/>
          </w:tcPr>
          <w:p>
            <w:pPr>
              <w:pStyle w:val="TableContents"/>
              <w:bidi w:val="0"/>
              <w:spacing w:before="0" w:after="283"/>
              <w:jc w:val="left"/>
              <w:rPr/>
            </w:pPr>
            <w:r>
              <w:rPr/>
              <w:t>99.1</w:t>
            </w:r>
          </w:p>
        </w:tc>
        <w:tc>
          <w:tcPr>
            <w:tcW w:w="683" w:type="dxa"/>
            <w:tcBorders/>
            <w:vAlign w:val="bottom"/>
          </w:tcPr>
          <w:p>
            <w:pPr>
              <w:pStyle w:val="TableContents"/>
              <w:bidi w:val="0"/>
              <w:spacing w:before="0" w:after="283"/>
              <w:jc w:val="left"/>
              <w:rPr/>
            </w:pPr>
            <w:r>
              <w:rPr/>
              <w:t>  </w:t>
            </w:r>
          </w:p>
        </w:tc>
        <w:tc>
          <w:tcPr>
            <w:tcW w:w="8303" w:type="dxa"/>
            <w:tcBorders/>
          </w:tcPr>
          <w:p>
            <w:pPr>
              <w:pStyle w:val="TableContents"/>
              <w:bidi w:val="0"/>
              <w:spacing w:before="0" w:after="283"/>
              <w:jc w:val="left"/>
              <w:rPr/>
            </w:pPr>
            <w:hyperlink w:anchor="d114913dex991.htm">
              <w:r>
                <w:rPr>
                  <w:rStyle w:val="InternetLink"/>
                </w:rPr>
                <w:t xml:space="preserve">Press Release issued by the Company on July 30,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tcPr>
          <w:p>
            <w:pPr>
              <w:pStyle w:val="TableContents"/>
              <w:bidi w:val="0"/>
              <w:spacing w:before="0" w:after="283"/>
              <w:jc w:val="left"/>
              <w:rPr>
                <w:b/>
              </w:rPr>
            </w:pPr>
            <w:r>
              <w:rPr>
                <w:b/>
              </w:rPr>
              <w:t>SILICON MOTION TECHNOLOGY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pPr>
            <w:r>
              <w:rPr/>
              <w:t>Date: July 30, 2026</w:t>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14913dex991.htm"/>
      <w:bookmarkStart w:id="3" w:name="ksd11491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4"/>
        <w:gridCol w:w="120"/>
        <w:gridCol w:w="7189"/>
        <w:gridCol w:w="120"/>
        <w:gridCol w:w="732"/>
      </w:tblGrid>
      <w:tr>
        <w:trPr/>
        <w:tc>
          <w:tcPr>
            <w:tcW w:w="20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044" w:type="dxa"/>
            <w:tcBorders/>
          </w:tcPr>
          <w:p>
            <w:pPr>
              <w:pStyle w:val="TableContents"/>
              <w:bidi w:val="0"/>
              <w:spacing w:before="0" w:after="283"/>
              <w:jc w:val="left"/>
              <w:rPr/>
            </w:pPr>
            <w:r>
              <w:rPr/>
              <w:drawing>
                <wp:inline distT="0" distB="0" distL="0" distR="0">
                  <wp:extent cx="6477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 cy="7239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7189" w:type="dxa"/>
            <w:tcBorders/>
          </w:tcPr>
          <w:p>
            <w:pPr>
              <w:pStyle w:val="TableContents"/>
              <w:bidi w:val="0"/>
              <w:spacing w:before="0" w:after="283"/>
              <w:jc w:val="center"/>
              <w:rPr>
                <w:b/>
              </w:rPr>
            </w:pPr>
            <w:r>
              <w:rPr>
                <w:b/>
              </w:rPr>
              <w:t>Silicon Motion Announces Results for the Quarterly Period Ended June 30, 2026</w:t>
            </w:r>
          </w:p>
        </w:tc>
        <w:tc>
          <w:tcPr>
            <w:tcW w:w="120" w:type="dxa"/>
            <w:tcBorders/>
            <w:vAlign w:val="bottom"/>
          </w:tcPr>
          <w:p>
            <w:pPr>
              <w:pStyle w:val="TableContents"/>
              <w:bidi w:val="0"/>
              <w:spacing w:before="0" w:after="283"/>
              <w:jc w:val="left"/>
              <w:rPr/>
            </w:pPr>
            <w:r>
              <w:rPr/>
              <w:t>  </w:t>
            </w:r>
          </w:p>
        </w:tc>
        <w:tc>
          <w:tcPr>
            <w:tcW w:w="732" w:type="dxa"/>
            <w:tcBorders/>
          </w:tcPr>
          <w:p>
            <w:pPr>
              <w:pStyle w:val="TableContents"/>
              <w:bidi w:val="0"/>
              <w:spacing w:before="0" w:after="283"/>
              <w:jc w:val="center"/>
              <w:rPr/>
            </w:pPr>
            <w:r>
              <w:rPr/>
              <w:t> </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NEWS RELEASE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quarter of 2026 sales increased 32% Q/Q and increased 127% Y/Y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SSD controller sales: 2Q of 2026 increased 5% to 10% Q/Q and increased 50% to 55% Y/Y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eMMC+UFS controller sales: 2Q of 2026 increased 15% to 20% Q/Q and increased 95% to 100% Y/Y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Ferri &amp; Boot Drive solutions sales: 2Q of 2026 increased 110% to 115% Q/Q and increased 1,690% to 1,695% Y/Y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Financial Highlights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14"/>
        <w:gridCol w:w="155"/>
        <w:gridCol w:w="2404"/>
        <w:gridCol w:w="155"/>
        <w:gridCol w:w="2327"/>
      </w:tblGrid>
      <w:tr>
        <w:trPr/>
        <w:tc>
          <w:tcPr>
            <w:tcW w:w="271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r>
      <w:tr>
        <w:trPr/>
        <w:tc>
          <w:tcPr>
            <w:tcW w:w="271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2Q 2026 GAAP</w:t>
            </w:r>
          </w:p>
        </w:tc>
        <w:tc>
          <w:tcPr>
            <w:tcW w:w="155" w:type="dxa"/>
            <w:tcBorders/>
            <w:vAlign w:val="bottom"/>
          </w:tcPr>
          <w:p>
            <w:pPr>
              <w:pStyle w:val="TableContents"/>
              <w:bidi w:val="0"/>
              <w:spacing w:before="0" w:after="283"/>
              <w:jc w:val="left"/>
              <w:rPr/>
            </w:pPr>
            <w:r>
              <w:rPr/>
              <w:t>  </w:t>
            </w:r>
          </w:p>
        </w:tc>
        <w:tc>
          <w:tcPr>
            <w:tcW w:w="23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2Q 2026 Non-GAAP*</w:t>
            </w:r>
          </w:p>
        </w:tc>
      </w:tr>
      <w:tr>
        <w:trPr/>
        <w:tc>
          <w:tcPr>
            <w:tcW w:w="2714" w:type="dxa"/>
            <w:tcBorders/>
            <w:shd w:fill="CCEEFF" w:val="clear"/>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Net sales</w:t>
            </w:r>
          </w:p>
        </w:tc>
        <w:tc>
          <w:tcPr>
            <w:tcW w:w="155"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$451.0 million</w:t>
            </w:r>
          </w:p>
          <w:p>
            <w:pPr>
              <w:pStyle w:val="TableContents"/>
              <w:bidi w:val="0"/>
              <w:spacing w:before="0" w:after="20"/>
              <w:jc w:val="center"/>
              <w:rPr>
                <w:rFonts w:ascii="Times New Roman" w:hAnsi="Times New Roman"/>
                <w:sz w:val="20"/>
              </w:rPr>
            </w:pPr>
            <w:r>
              <w:rPr>
                <w:rFonts w:ascii="Times New Roman" w:hAnsi="Times New Roman"/>
                <w:sz w:val="20"/>
              </w:rPr>
              <w:t>(+32% Q/Q, +127% Y/Y)</w:t>
            </w:r>
          </w:p>
        </w:tc>
        <w:tc>
          <w:tcPr>
            <w:tcW w:w="155" w:type="dxa"/>
            <w:tcBorders/>
            <w:shd w:fill="CCEEFF" w:val="clear"/>
            <w:vAlign w:val="bottom"/>
          </w:tcPr>
          <w:p>
            <w:pPr>
              <w:pStyle w:val="TableContents"/>
              <w:bidi w:val="0"/>
              <w:spacing w:before="0" w:after="283"/>
              <w:jc w:val="left"/>
              <w:rPr/>
            </w:pPr>
            <w:r>
              <w:rPr/>
              <w:t>  </w:t>
            </w:r>
          </w:p>
        </w:tc>
        <w:tc>
          <w:tcPr>
            <w:tcW w:w="2327"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$451.0 million</w:t>
            </w:r>
          </w:p>
          <w:p>
            <w:pPr>
              <w:pStyle w:val="TableContents"/>
              <w:bidi w:val="0"/>
              <w:spacing w:before="0" w:after="20"/>
              <w:jc w:val="center"/>
              <w:rPr>
                <w:rFonts w:ascii="Times New Roman" w:hAnsi="Times New Roman"/>
                <w:sz w:val="20"/>
              </w:rPr>
            </w:pPr>
            <w:r>
              <w:rPr>
                <w:rFonts w:ascii="Times New Roman" w:hAnsi="Times New Roman"/>
                <w:sz w:val="20"/>
              </w:rPr>
              <w:t>(+32% Q/Q, +127% Y/Y)</w:t>
            </w:r>
          </w:p>
        </w:tc>
      </w:tr>
      <w:tr>
        <w:trPr/>
        <w:tc>
          <w:tcPr>
            <w:tcW w:w="2714"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Gross margin</w:t>
            </w:r>
          </w:p>
        </w:tc>
        <w:tc>
          <w:tcPr>
            <w:tcW w:w="155" w:type="dxa"/>
            <w:tcBorders/>
            <w:vAlign w:val="bottom"/>
          </w:tcPr>
          <w:p>
            <w:pPr>
              <w:pStyle w:val="TableContents"/>
              <w:bidi w:val="0"/>
              <w:spacing w:before="0" w:after="283"/>
              <w:jc w:val="left"/>
              <w:rPr/>
            </w:pPr>
            <w:r>
              <w:rPr/>
              <w:t>  </w:t>
            </w:r>
          </w:p>
        </w:tc>
        <w:tc>
          <w:tcPr>
            <w:tcW w:w="2404" w:type="dxa"/>
            <w:tcBorders/>
            <w:vAlign w:val="bottom"/>
          </w:tcPr>
          <w:p>
            <w:pPr>
              <w:pStyle w:val="TableContents"/>
              <w:bidi w:val="0"/>
              <w:spacing w:before="0" w:after="283"/>
              <w:jc w:val="center"/>
              <w:rPr/>
            </w:pPr>
            <w:r>
              <w:rPr/>
              <w:t>50.2%</w:t>
            </w:r>
          </w:p>
        </w:tc>
        <w:tc>
          <w:tcPr>
            <w:tcW w:w="155" w:type="dxa"/>
            <w:tcBorders/>
            <w:vAlign w:val="bottom"/>
          </w:tcPr>
          <w:p>
            <w:pPr>
              <w:pStyle w:val="TableContents"/>
              <w:bidi w:val="0"/>
              <w:spacing w:before="0" w:after="283"/>
              <w:jc w:val="left"/>
              <w:rPr/>
            </w:pPr>
            <w:r>
              <w:rPr/>
              <w:t>  </w:t>
            </w:r>
          </w:p>
        </w:tc>
        <w:tc>
          <w:tcPr>
            <w:tcW w:w="2327" w:type="dxa"/>
            <w:tcBorders/>
            <w:vAlign w:val="bottom"/>
          </w:tcPr>
          <w:p>
            <w:pPr>
              <w:pStyle w:val="TableContents"/>
              <w:bidi w:val="0"/>
              <w:spacing w:before="0" w:after="283"/>
              <w:jc w:val="center"/>
              <w:rPr/>
            </w:pPr>
            <w:r>
              <w:rPr/>
              <w:t>50.2%</w:t>
            </w:r>
          </w:p>
        </w:tc>
      </w:tr>
      <w:tr>
        <w:trPr/>
        <w:tc>
          <w:tcPr>
            <w:tcW w:w="2714" w:type="dxa"/>
            <w:tcBorders/>
            <w:shd w:fill="CCEEFF" w:val="clear"/>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Operating margin</w:t>
            </w:r>
          </w:p>
        </w:tc>
        <w:tc>
          <w:tcPr>
            <w:tcW w:w="155"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283"/>
              <w:jc w:val="center"/>
              <w:rPr/>
            </w:pPr>
            <w:r>
              <w:rPr/>
              <w:t>22.4%</w:t>
            </w:r>
          </w:p>
        </w:tc>
        <w:tc>
          <w:tcPr>
            <w:tcW w:w="155" w:type="dxa"/>
            <w:tcBorders/>
            <w:shd w:fill="CCEEFF" w:val="clear"/>
            <w:vAlign w:val="bottom"/>
          </w:tcPr>
          <w:p>
            <w:pPr>
              <w:pStyle w:val="TableContents"/>
              <w:bidi w:val="0"/>
              <w:spacing w:before="0" w:after="283"/>
              <w:jc w:val="left"/>
              <w:rPr/>
            </w:pPr>
            <w:r>
              <w:rPr/>
              <w:t>  </w:t>
            </w:r>
          </w:p>
        </w:tc>
        <w:tc>
          <w:tcPr>
            <w:tcW w:w="2327" w:type="dxa"/>
            <w:tcBorders/>
            <w:shd w:fill="CCEEFF" w:val="clear"/>
            <w:vAlign w:val="bottom"/>
          </w:tcPr>
          <w:p>
            <w:pPr>
              <w:pStyle w:val="TableContents"/>
              <w:bidi w:val="0"/>
              <w:spacing w:before="0" w:after="283"/>
              <w:jc w:val="center"/>
              <w:rPr/>
            </w:pPr>
            <w:r>
              <w:rPr/>
              <w:t>23.1%</w:t>
            </w:r>
          </w:p>
        </w:tc>
      </w:tr>
      <w:tr>
        <w:trPr/>
        <w:tc>
          <w:tcPr>
            <w:tcW w:w="2714"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Earnings per diluted ADS</w:t>
            </w:r>
          </w:p>
        </w:tc>
        <w:tc>
          <w:tcPr>
            <w:tcW w:w="155" w:type="dxa"/>
            <w:tcBorders/>
            <w:vAlign w:val="bottom"/>
          </w:tcPr>
          <w:p>
            <w:pPr>
              <w:pStyle w:val="TableContents"/>
              <w:bidi w:val="0"/>
              <w:spacing w:before="0" w:after="283"/>
              <w:jc w:val="left"/>
              <w:rPr/>
            </w:pPr>
            <w:r>
              <w:rPr/>
              <w:t>  </w:t>
            </w:r>
          </w:p>
        </w:tc>
        <w:tc>
          <w:tcPr>
            <w:tcW w:w="2404" w:type="dxa"/>
            <w:tcBorders/>
            <w:vAlign w:val="bottom"/>
          </w:tcPr>
          <w:p>
            <w:pPr>
              <w:pStyle w:val="TableContents"/>
              <w:bidi w:val="0"/>
              <w:spacing w:before="0" w:after="283"/>
              <w:jc w:val="center"/>
              <w:rPr/>
            </w:pPr>
            <w:r>
              <w:rPr/>
              <w:t>$3.99</w:t>
            </w:r>
          </w:p>
        </w:tc>
        <w:tc>
          <w:tcPr>
            <w:tcW w:w="155" w:type="dxa"/>
            <w:tcBorders/>
            <w:vAlign w:val="bottom"/>
          </w:tcPr>
          <w:p>
            <w:pPr>
              <w:pStyle w:val="TableContents"/>
              <w:bidi w:val="0"/>
              <w:spacing w:before="0" w:after="283"/>
              <w:jc w:val="left"/>
              <w:rPr/>
            </w:pPr>
            <w:r>
              <w:rPr/>
              <w:t>  </w:t>
            </w:r>
          </w:p>
        </w:tc>
        <w:tc>
          <w:tcPr>
            <w:tcW w:w="2327" w:type="dxa"/>
            <w:tcBorders/>
            <w:vAlign w:val="bottom"/>
          </w:tcPr>
          <w:p>
            <w:pPr>
              <w:pStyle w:val="TableContents"/>
              <w:bidi w:val="0"/>
              <w:spacing w:before="0" w:after="283"/>
              <w:jc w:val="center"/>
              <w:rPr/>
            </w:pPr>
            <w:r>
              <w:rPr/>
              <w:t>$2.43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see reconciliations of U.S. Generally Accepted Accounting Principles (“GAAP”) to all non-GAAP financial measures mentioned herein towards the end of this news release. </w:t>
            </w:r>
          </w:p>
        </w:tc>
      </w:tr>
    </w:tbl>
    <w:p>
      <w:pPr>
        <w:pStyle w:val="TextBody"/>
        <w:bidi w:val="0"/>
        <w:spacing w:before="240" w:after="0"/>
        <w:jc w:val="left"/>
        <w:rPr>
          <w:rFonts w:ascii="Times New Roman" w:hAnsi="Times New Roman"/>
          <w:sz w:val="20"/>
        </w:rPr>
      </w:pPr>
      <w:r>
        <w:rPr>
          <w:rFonts w:ascii="Times New Roman" w:hAnsi="Times New Roman"/>
          <w:b/>
          <w:sz w:val="20"/>
        </w:rPr>
        <w:t>TAIPEI, Taiwan and MILPITAS, Calif., July</w:t>
      </w:r>
      <w:r>
        <w:rPr>
          <w:rFonts w:ascii="Times New Roman" w:hAnsi="Times New Roman"/>
          <w:sz w:val="20"/>
        </w:rPr>
        <w:t> </w:t>
      </w:r>
      <w:r>
        <w:rPr>
          <w:rFonts w:ascii="Times New Roman" w:hAnsi="Times New Roman"/>
          <w:b/>
          <w:sz w:val="20"/>
        </w:rPr>
        <w:t>30, 2026</w:t>
      </w:r>
      <w:r>
        <w:rPr>
          <w:rFonts w:ascii="Times New Roman" w:hAnsi="Times New Roman"/>
          <w:sz w:val="20"/>
        </w:rPr>
        <w:t xml:space="preserve"> – Silicon Motion Technology Corporation (NasdaqGS: SIMO) (“Silicon Motion,” the “Company,” “we” or similar terms) today announced its financial results for the quarter ended June 30, 2026. For the second quarter of 2026, net sales (GAAP) increased sequentially to $451.0 million from $342.1 million in the first quarter of 2026. Net income (GAAP) also increased sequentially to $136.1 million, or $3.99 per diluted American depositary share (“ADS”) (GAAP), from net income (GAAP) of $66.8 million, or $1.97 per diluted ADS (GAAP), in the first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For the second quarter of 2026, net income (non-GAAP) increased sequentially to $83.1 million, or $2.43 per diluted ADS (non-GAAP), from net income (non-GAAP) of $53.8 million, or $1.58 per diluted ADS (non-GAAP), in the first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All financial numbers are in U.S. dollars unless otherwise noted.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Second Quarter of 2026 Review </w:t>
      </w:r>
    </w:p>
    <w:p>
      <w:pPr>
        <w:pStyle w:val="TextBody"/>
        <w:bidi w:val="0"/>
        <w:spacing w:before="120" w:after="0"/>
        <w:jc w:val="left"/>
        <w:rPr/>
      </w:pPr>
      <w:r>
        <w:rPr/>
        <w:t>“</w:t>
      </w:r>
      <w:r>
        <w:rPr>
          <w:rFonts w:ascii="Times New Roman" w:hAnsi="Times New Roman"/>
          <w:sz w:val="20"/>
        </w:rPr>
        <w:t xml:space="preserve">Our shift from a consumer-focused NAND flash controller maker to a diversified leader in controllers and storage solutions — from AI infrastructure to the edge — is accelerating rapidly,” stated Wallace Kou, President &amp; CEO of Silicon Motion. “The second quarter delivered exceptional growth in revenue, gross margin, and operating margin — powered by our Embedded eMMC &amp; UFS business, our Enterprise and Edge SSD controller business, and our rapidly growing storage solutions business focusing on Ferri for Automotive &amp; Enterprise Boot Drives. The first two quarters delivered a record-breaking start to the year, and we expect that momentum to continue into the second half. With our ongoing product and market expansion, we are building a resilient platform for sustainable, high-quality revenue and profitability growth for years to come.”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Key Financial Results </w:t>
      </w:r>
    </w:p>
    <w:p>
      <w:pPr>
        <w:pStyle w:val="TextBody"/>
        <w:bidi w:val="0"/>
        <w:spacing w:before="0" w:after="0"/>
        <w:jc w:val="left"/>
        <w:rPr/>
      </w:pPr>
      <w:r>
        <w:rPr/>
        <w:t> </w:t>
      </w:r>
    </w:p>
    <w:tbl>
      <w:tblPr>
        <w:tblW w:w="11060" w:type="dxa"/>
        <w:jc w:val="center"/>
        <w:tblInd w:w="0" w:type="dxa"/>
        <w:tblLayout w:type="fixed"/>
        <w:tblCellMar>
          <w:top w:w="0" w:type="dxa"/>
          <w:left w:w="0" w:type="dxa"/>
          <w:bottom w:w="0" w:type="dxa"/>
          <w:right w:w="0" w:type="dxa"/>
        </w:tblCellMar>
      </w:tblPr>
      <w:tblGrid>
        <w:gridCol w:w="3830"/>
        <w:gridCol w:w="120"/>
        <w:gridCol w:w="172"/>
        <w:gridCol w:w="688"/>
        <w:gridCol w:w="275"/>
        <w:gridCol w:w="60"/>
        <w:gridCol w:w="172"/>
        <w:gridCol w:w="688"/>
        <w:gridCol w:w="275"/>
        <w:gridCol w:w="60"/>
        <w:gridCol w:w="172"/>
        <w:gridCol w:w="688"/>
        <w:gridCol w:w="275"/>
        <w:gridCol w:w="60"/>
        <w:gridCol w:w="172"/>
        <w:gridCol w:w="688"/>
        <w:gridCol w:w="275"/>
        <w:gridCol w:w="60"/>
        <w:gridCol w:w="172"/>
        <w:gridCol w:w="688"/>
        <w:gridCol w:w="275"/>
        <w:gridCol w:w="60"/>
        <w:gridCol w:w="172"/>
        <w:gridCol w:w="688"/>
        <w:gridCol w:w="275"/>
      </w:tblGrid>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30" w:type="dxa"/>
            <w:vMerge w:val="restart"/>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 except percentages and per ADS amounts)</w:t>
            </w:r>
          </w:p>
        </w:tc>
        <w:tc>
          <w:tcPr>
            <w:tcW w:w="120" w:type="dxa"/>
            <w:tcBorders/>
            <w:vAlign w:val="bottom"/>
          </w:tcPr>
          <w:p>
            <w:pPr>
              <w:pStyle w:val="TableContents"/>
              <w:bidi w:val="0"/>
              <w:spacing w:before="0" w:after="283"/>
              <w:jc w:val="left"/>
              <w:rPr/>
            </w:pPr>
            <w:r>
              <w:rPr/>
              <w:t>  </w:t>
            </w:r>
          </w:p>
        </w:tc>
        <w:tc>
          <w:tcPr>
            <w:tcW w:w="325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275" w:type="dxa"/>
            <w:tcBorders/>
            <w:vAlign w:val="bottom"/>
          </w:tcPr>
          <w:p>
            <w:pPr>
              <w:pStyle w:val="TableContents"/>
              <w:bidi w:val="0"/>
              <w:spacing w:before="0" w:after="283"/>
              <w:jc w:val="left"/>
              <w:rPr/>
            </w:pPr>
            <w:r>
              <w:rPr/>
              <w:t> </w:t>
            </w:r>
          </w:p>
        </w:tc>
      </w:tr>
      <w:tr>
        <w:trPr/>
        <w:tc>
          <w:tcPr>
            <w:tcW w:w="383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 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 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 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 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 2025</w:t>
            </w:r>
          </w:p>
        </w:tc>
        <w:tc>
          <w:tcPr>
            <w:tcW w:w="275"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451.0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342.1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198.7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451.0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342.1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198.7</w:t>
            </w:r>
          </w:p>
        </w:tc>
        <w:tc>
          <w:tcPr>
            <w:tcW w:w="275"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226.2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161.3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94.7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226.3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161.4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94.7</w:t>
            </w:r>
          </w:p>
        </w:tc>
        <w:tc>
          <w:tcPr>
            <w:tcW w:w="275"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Percent of revenue</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i/>
              </w:rPr>
            </w:pPr>
            <w:r>
              <w:rPr>
                <w:i/>
              </w:rPr>
              <w:t>50.2</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i/>
              </w:rPr>
            </w:pPr>
            <w:r>
              <w:rPr>
                <w:i/>
              </w:rPr>
              <w:t>47.1</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i/>
              </w:rPr>
            </w:pPr>
            <w:r>
              <w:rPr>
                <w:i/>
              </w:rPr>
              <w:t>47.7</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i/>
              </w:rPr>
            </w:pPr>
            <w:r>
              <w:rPr>
                <w:i/>
              </w:rPr>
              <w:t>50.2</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i/>
              </w:rPr>
            </w:pPr>
            <w:r>
              <w:rPr>
                <w:i/>
              </w:rPr>
              <w:t>47.2</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i/>
              </w:rPr>
            </w:pPr>
            <w:r>
              <w:rPr>
                <w:i/>
              </w:rPr>
              <w:t>47.7</w:t>
            </w:r>
          </w:p>
        </w:tc>
        <w:tc>
          <w:tcPr>
            <w:tcW w:w="275" w:type="dxa"/>
            <w:tcBorders/>
            <w:shd w:fill="CCEEFF" w:val="clear"/>
            <w:vAlign w:val="bottom"/>
          </w:tcPr>
          <w:p>
            <w:pPr>
              <w:pStyle w:val="TableContents"/>
              <w:bidi w:val="0"/>
              <w:spacing w:before="0" w:after="283"/>
              <w:jc w:val="left"/>
              <w:rPr>
                <w:i/>
              </w:rPr>
            </w:pPr>
            <w:r>
              <w:rPr>
                <w:i/>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125.1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109.1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72.4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122.1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99.2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69.3</w:t>
            </w:r>
          </w:p>
        </w:tc>
        <w:tc>
          <w:tcPr>
            <w:tcW w:w="275"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101.1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52.2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104.2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62.2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25.3</w:t>
            </w:r>
          </w:p>
        </w:tc>
        <w:tc>
          <w:tcPr>
            <w:tcW w:w="275"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i/>
                <w:sz w:val="20"/>
              </w:rPr>
            </w:pPr>
            <w:r>
              <w:rPr>
                <w:rFonts w:ascii="Times New Roman" w:hAnsi="Times New Roman"/>
                <w:i/>
                <w:sz w:val="20"/>
              </w:rPr>
              <w:t>Percent of revenue</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i/>
              </w:rPr>
            </w:pPr>
            <w:r>
              <w:rPr>
                <w:i/>
              </w:rPr>
              <w:t>22.4</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i/>
              </w:rPr>
            </w:pPr>
            <w:r>
              <w:rPr>
                <w:i/>
              </w:rPr>
              <w:t>15.3</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i/>
              </w:rPr>
            </w:pPr>
            <w:r>
              <w:rPr>
                <w:i/>
              </w:rPr>
              <w:t>11.2</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i/>
              </w:rPr>
            </w:pPr>
            <w:r>
              <w:rPr>
                <w:i/>
              </w:rPr>
              <w:t>23.1</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i/>
              </w:rPr>
            </w:pPr>
            <w:r>
              <w:rPr>
                <w:i/>
              </w:rPr>
              <w:t>18.2</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i/>
              </w:rPr>
            </w:pPr>
            <w:r>
              <w:rPr>
                <w:i/>
              </w:rPr>
              <w:t>12.8</w:t>
            </w:r>
          </w:p>
        </w:tc>
        <w:tc>
          <w:tcPr>
            <w:tcW w:w="275" w:type="dxa"/>
            <w:tcBorders/>
            <w:vAlign w:val="bottom"/>
          </w:tcPr>
          <w:p>
            <w:pPr>
              <w:pStyle w:val="TableContents"/>
              <w:bidi w:val="0"/>
              <w:spacing w:before="0" w:after="283"/>
              <w:jc w:val="left"/>
              <w:rPr>
                <w:i/>
              </w:rPr>
            </w:pPr>
            <w:r>
              <w:rPr>
                <w:i/>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diluted ADS</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0.49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2.43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0.69</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Other Financial Information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030"/>
        <w:gridCol w:w="257"/>
        <w:gridCol w:w="172"/>
        <w:gridCol w:w="690"/>
        <w:gridCol w:w="60"/>
        <w:gridCol w:w="257"/>
        <w:gridCol w:w="172"/>
        <w:gridCol w:w="690"/>
        <w:gridCol w:w="60"/>
        <w:gridCol w:w="257"/>
        <w:gridCol w:w="172"/>
        <w:gridCol w:w="690"/>
        <w:gridCol w:w="65"/>
      </w:tblGrid>
      <w:tr>
        <w:trPr/>
        <w:tc>
          <w:tcPr>
            <w:tcW w:w="503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3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257"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 2026</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 2026</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 2025</w:t>
            </w:r>
          </w:p>
        </w:tc>
        <w:tc>
          <w:tcPr>
            <w:tcW w:w="65"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cash—end of period</w:t>
            </w:r>
          </w:p>
        </w:tc>
        <w:tc>
          <w:tcPr>
            <w:tcW w:w="25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181.8</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210.9</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282.3</w:t>
            </w:r>
          </w:p>
        </w:tc>
        <w:tc>
          <w:tcPr>
            <w:tcW w:w="65"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Routine capital expenditures</w:t>
            </w:r>
          </w:p>
        </w:tc>
        <w:tc>
          <w:tcPr>
            <w:tcW w:w="25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payments</w:t>
            </w:r>
          </w:p>
        </w:tc>
        <w:tc>
          <w:tcPr>
            <w:tcW w:w="25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16.9</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16.9</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16.7</w:t>
            </w:r>
          </w:p>
        </w:tc>
        <w:tc>
          <w:tcPr>
            <w:tcW w:w="65"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Bank loans</w:t>
            </w:r>
          </w:p>
        </w:tc>
        <w:tc>
          <w:tcPr>
            <w:tcW w:w="25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59.2</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second quarter of 2026, we had $7.7 million of capital expenditures, including $5.8 million for the routine purchases of testing equipment, software, design tools and other items, and $1.9 million for building construction and improvements.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Returning Value to Shareholders </w:t>
      </w:r>
    </w:p>
    <w:p>
      <w:pPr>
        <w:pStyle w:val="TextBody"/>
        <w:bidi w:val="0"/>
        <w:spacing w:before="120" w:after="0"/>
        <w:jc w:val="left"/>
        <w:rPr>
          <w:rFonts w:ascii="Times New Roman" w:hAnsi="Times New Roman"/>
          <w:sz w:val="20"/>
        </w:rPr>
      </w:pPr>
      <w:r>
        <w:rPr>
          <w:rFonts w:ascii="Times New Roman" w:hAnsi="Times New Roman"/>
          <w:sz w:val="20"/>
        </w:rPr>
        <w:t xml:space="preserve">On October 27, 2025, our Board of Directors declared a $2.00 per ADS annual cash dividend to be paid in quarterly installments of $0.50 per ADS. On May 21, 2026, we paid $16.9 million to Silicon Motion shareholders as the third installment of the annual cash dividend. The fourth installment of our annual dividend is scheduled to be paid on August 20, 2026 to all Silicon Motion shareholders of record as of the close of business on August 6,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Business Outlook </w:t>
      </w:r>
    </w:p>
    <w:p>
      <w:pPr>
        <w:pStyle w:val="TextBody"/>
        <w:bidi w:val="0"/>
        <w:spacing w:before="120" w:after="0"/>
        <w:jc w:val="left"/>
        <w:rPr/>
      </w:pPr>
      <w:r>
        <w:rPr/>
        <w:t>“</w:t>
      </w:r>
      <w:r>
        <w:rPr>
          <w:rFonts w:ascii="Times New Roman" w:hAnsi="Times New Roman"/>
          <w:sz w:val="20"/>
        </w:rPr>
        <w:t xml:space="preserve">SIMO is drawing on its leading NAND controller technology and unmatched industry relationships to broaden its product portfolio and addressable markets from AI infrastructure to the edge. We’ve built this foundation over the past several years through investments in leading embedded eMMC and UFS products, our high-performance 6nm PCIe5 edge SSD controller portfolio, our new MonTitan enterprise/AI SSD PCIe5 and in-development PCIe6 controllers, and our rapidly expanding lineup of Ferri and Enterprise Boot Drive storage solutions. Today we are exceptionally well positioned across every AI market, including AI data center, AI server, edge AI, and physical AI.” </w:t>
      </w:r>
    </w:p>
    <w:p>
      <w:pPr>
        <w:pStyle w:val="TextBody"/>
        <w:bidi w:val="0"/>
        <w:spacing w:before="240" w:after="0"/>
        <w:jc w:val="left"/>
        <w:rPr/>
      </w:pPr>
      <w:r>
        <w:rPr/>
        <w:t>“</w:t>
      </w:r>
      <w:r>
        <w:rPr>
          <w:rFonts w:ascii="Times New Roman" w:hAnsi="Times New Roman"/>
          <w:sz w:val="20"/>
        </w:rPr>
        <w:t xml:space="preserve">Based on our current backlog and customer forecasts, we expect continued strong top-line growth through the rest of the year. Although many of our consumer businesses face real headwinds from current NAND pricing and supply, we have never been better positioned as a company. We are on track to deliver the highest annual revenue in our company’s history, growing more than 100% year-over-year, and we’re still in the early stages of bringing our new enterprise/AI infrastructure products into the mix,” stated Mr. Kou.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third quarter of 2026, management expects: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92"/>
        <w:gridCol w:w="122"/>
        <w:gridCol w:w="2053"/>
        <w:gridCol w:w="122"/>
        <w:gridCol w:w="3129"/>
        <w:gridCol w:w="122"/>
        <w:gridCol w:w="1965"/>
      </w:tblGrid>
      <w:tr>
        <w:trPr/>
        <w:tc>
          <w:tcPr>
            <w:tcW w:w="269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269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 in millions, except percentages)</w:t>
            </w:r>
          </w:p>
        </w:tc>
        <w:tc>
          <w:tcPr>
            <w:tcW w:w="122" w:type="dxa"/>
            <w:tcBorders/>
            <w:vAlign w:val="bottom"/>
          </w:tcPr>
          <w:p>
            <w:pPr>
              <w:pStyle w:val="TableContents"/>
              <w:bidi w:val="0"/>
              <w:spacing w:before="0" w:after="283"/>
              <w:jc w:val="left"/>
              <w:rPr/>
            </w:pPr>
            <w:r>
              <w:rPr/>
              <w:t>  </w:t>
            </w:r>
          </w:p>
        </w:tc>
        <w:tc>
          <w:tcPr>
            <w:tcW w:w="20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GAAP</w:t>
            </w:r>
          </w:p>
        </w:tc>
        <w:tc>
          <w:tcPr>
            <w:tcW w:w="122" w:type="dxa"/>
            <w:tcBorders/>
            <w:vAlign w:val="bottom"/>
          </w:tcPr>
          <w:p>
            <w:pPr>
              <w:pStyle w:val="TableContents"/>
              <w:bidi w:val="0"/>
              <w:spacing w:before="0" w:after="283"/>
              <w:jc w:val="left"/>
              <w:rPr/>
            </w:pPr>
            <w:r>
              <w:rPr/>
              <w:t>  </w:t>
            </w:r>
          </w:p>
        </w:tc>
        <w:tc>
          <w:tcPr>
            <w:tcW w:w="31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Non-GAAP Adjustment</w:t>
            </w:r>
          </w:p>
        </w:tc>
        <w:tc>
          <w:tcPr>
            <w:tcW w:w="122" w:type="dxa"/>
            <w:tcBorders/>
            <w:vAlign w:val="bottom"/>
          </w:tcPr>
          <w:p>
            <w:pPr>
              <w:pStyle w:val="TableContents"/>
              <w:bidi w:val="0"/>
              <w:spacing w:before="0" w:after="283"/>
              <w:jc w:val="left"/>
              <w:rPr/>
            </w:pPr>
            <w:r>
              <w:rPr/>
              <w:t>  </w:t>
            </w:r>
          </w:p>
        </w:tc>
        <w:tc>
          <w:tcPr>
            <w:tcW w:w="19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Non-GAAP</w:t>
            </w:r>
          </w:p>
        </w:tc>
      </w:tr>
      <w:tr>
        <w:trPr/>
        <w:tc>
          <w:tcPr>
            <w:tcW w:w="2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2" w:type="dxa"/>
            <w:tcBorders/>
            <w:shd w:fill="CCEEFF" w:val="clear"/>
            <w:vAlign w:val="bottom"/>
          </w:tcPr>
          <w:p>
            <w:pPr>
              <w:pStyle w:val="TableContents"/>
              <w:bidi w:val="0"/>
              <w:spacing w:before="0" w:after="283"/>
              <w:jc w:val="left"/>
              <w:rPr/>
            </w:pPr>
            <w:r>
              <w:rPr/>
              <w:t>  </w:t>
            </w:r>
          </w:p>
        </w:tc>
        <w:tc>
          <w:tcPr>
            <w:tcW w:w="2053"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$519 to $541</w:t>
            </w:r>
          </w:p>
          <w:p>
            <w:pPr>
              <w:pStyle w:val="TableContents"/>
              <w:bidi w:val="0"/>
              <w:spacing w:before="0" w:after="0"/>
              <w:jc w:val="center"/>
              <w:rPr>
                <w:rFonts w:ascii="Times New Roman" w:hAnsi="Times New Roman"/>
                <w:sz w:val="20"/>
              </w:rPr>
            </w:pPr>
            <w:r>
              <w:rPr>
                <w:rFonts w:ascii="Times New Roman" w:hAnsi="Times New Roman"/>
                <w:sz w:val="20"/>
              </w:rPr>
              <w:t>+15% to 20% Q/Q</w:t>
            </w:r>
          </w:p>
          <w:p>
            <w:pPr>
              <w:pStyle w:val="TableContents"/>
              <w:bidi w:val="0"/>
              <w:spacing w:before="0" w:after="20"/>
              <w:jc w:val="center"/>
              <w:rPr>
                <w:rFonts w:ascii="Times New Roman" w:hAnsi="Times New Roman"/>
                <w:sz w:val="20"/>
              </w:rPr>
            </w:pPr>
            <w:r>
              <w:rPr>
                <w:rFonts w:ascii="Times New Roman" w:hAnsi="Times New Roman"/>
                <w:sz w:val="20"/>
              </w:rPr>
              <w:t>+114% to 124% Y/Y</w:t>
            </w:r>
          </w:p>
        </w:tc>
        <w:tc>
          <w:tcPr>
            <w:tcW w:w="122" w:type="dxa"/>
            <w:tcBorders/>
            <w:shd w:fill="CCEEFF" w:val="clear"/>
            <w:vAlign w:val="bottom"/>
          </w:tcPr>
          <w:p>
            <w:pPr>
              <w:pStyle w:val="TableContents"/>
              <w:bidi w:val="0"/>
              <w:spacing w:before="0" w:after="283"/>
              <w:jc w:val="left"/>
              <w:rPr/>
            </w:pPr>
            <w:r>
              <w:rPr/>
              <w:t>  </w:t>
            </w:r>
          </w:p>
        </w:tc>
        <w:tc>
          <w:tcPr>
            <w:tcW w:w="3129" w:type="dxa"/>
            <w:tcBorders/>
            <w:shd w:fill="CCEEFF" w:val="clear"/>
            <w:vAlign w:val="bottom"/>
          </w:tcPr>
          <w:p>
            <w:pPr>
              <w:pStyle w:val="TableContents"/>
              <w:bidi w:val="0"/>
              <w:spacing w:before="0" w:after="283"/>
              <w:jc w:val="center"/>
              <w:rPr/>
            </w:pPr>
            <w:r>
              <w:rPr/>
              <w:t>—</w:t>
            </w:r>
          </w:p>
        </w:tc>
        <w:tc>
          <w:tcPr>
            <w:tcW w:w="12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$519 to $541</w:t>
            </w:r>
          </w:p>
          <w:p>
            <w:pPr>
              <w:pStyle w:val="TableContents"/>
              <w:bidi w:val="0"/>
              <w:spacing w:before="0" w:after="0"/>
              <w:jc w:val="center"/>
              <w:rPr>
                <w:rFonts w:ascii="Times New Roman" w:hAnsi="Times New Roman"/>
                <w:sz w:val="20"/>
              </w:rPr>
            </w:pPr>
            <w:r>
              <w:rPr>
                <w:rFonts w:ascii="Times New Roman" w:hAnsi="Times New Roman"/>
                <w:sz w:val="20"/>
              </w:rPr>
              <w:t>+15% to 20% Q/Q</w:t>
            </w:r>
          </w:p>
          <w:p>
            <w:pPr>
              <w:pStyle w:val="TableContents"/>
              <w:bidi w:val="0"/>
              <w:spacing w:before="0" w:after="20"/>
              <w:jc w:val="center"/>
              <w:rPr>
                <w:rFonts w:ascii="Times New Roman" w:hAnsi="Times New Roman"/>
                <w:sz w:val="20"/>
              </w:rPr>
            </w:pPr>
            <w:r>
              <w:rPr>
                <w:rFonts w:ascii="Times New Roman" w:hAnsi="Times New Roman"/>
                <w:sz w:val="20"/>
              </w:rPr>
              <w:t>+114% to 124% Y/Y</w:t>
            </w:r>
          </w:p>
        </w:tc>
      </w:tr>
      <w:tr>
        <w:trPr/>
        <w:tc>
          <w:tcPr>
            <w:tcW w:w="2692"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22" w:type="dxa"/>
            <w:tcBorders/>
            <w:vAlign w:val="bottom"/>
          </w:tcPr>
          <w:p>
            <w:pPr>
              <w:pStyle w:val="TableContents"/>
              <w:bidi w:val="0"/>
              <w:spacing w:before="0" w:after="283"/>
              <w:jc w:val="left"/>
              <w:rPr/>
            </w:pPr>
            <w:r>
              <w:rPr/>
              <w:t>  </w:t>
            </w:r>
          </w:p>
        </w:tc>
        <w:tc>
          <w:tcPr>
            <w:tcW w:w="2053" w:type="dxa"/>
            <w:tcBorders/>
            <w:vAlign w:val="bottom"/>
          </w:tcPr>
          <w:p>
            <w:pPr>
              <w:pStyle w:val="TableContents"/>
              <w:bidi w:val="0"/>
              <w:spacing w:before="0" w:after="283"/>
              <w:jc w:val="center"/>
              <w:rPr/>
            </w:pPr>
            <w:r>
              <w:rPr/>
              <w:t>49.9% to 50.9%</w:t>
            </w:r>
          </w:p>
        </w:tc>
        <w:tc>
          <w:tcPr>
            <w:tcW w:w="122"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center"/>
              <w:rPr/>
            </w:pPr>
            <w:r>
              <w:rPr/>
              <w:t>Approximately $0.3*</w:t>
            </w:r>
          </w:p>
        </w:tc>
        <w:tc>
          <w:tcPr>
            <w:tcW w:w="12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50.0% to 51.0%</w:t>
            </w:r>
          </w:p>
        </w:tc>
      </w:tr>
      <w:tr>
        <w:trPr/>
        <w:tc>
          <w:tcPr>
            <w:tcW w:w="2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margin</w:t>
            </w:r>
          </w:p>
        </w:tc>
        <w:tc>
          <w:tcPr>
            <w:tcW w:w="122" w:type="dxa"/>
            <w:tcBorders/>
            <w:shd w:fill="CCEEFF" w:val="clear"/>
            <w:vAlign w:val="bottom"/>
          </w:tcPr>
          <w:p>
            <w:pPr>
              <w:pStyle w:val="TableContents"/>
              <w:bidi w:val="0"/>
              <w:spacing w:before="0" w:after="283"/>
              <w:jc w:val="left"/>
              <w:rPr/>
            </w:pPr>
            <w:r>
              <w:rPr/>
              <w:t>  </w:t>
            </w:r>
          </w:p>
        </w:tc>
        <w:tc>
          <w:tcPr>
            <w:tcW w:w="2053" w:type="dxa"/>
            <w:tcBorders/>
            <w:shd w:fill="CCEEFF" w:val="clear"/>
            <w:vAlign w:val="bottom"/>
          </w:tcPr>
          <w:p>
            <w:pPr>
              <w:pStyle w:val="TableContents"/>
              <w:bidi w:val="0"/>
              <w:spacing w:before="0" w:after="283"/>
              <w:jc w:val="center"/>
              <w:rPr/>
            </w:pPr>
            <w:r>
              <w:rPr/>
              <w:t>24.4% to 25.7%</w:t>
            </w:r>
          </w:p>
        </w:tc>
        <w:tc>
          <w:tcPr>
            <w:tcW w:w="122" w:type="dxa"/>
            <w:tcBorders/>
            <w:shd w:fill="CCEEFF" w:val="clear"/>
            <w:vAlign w:val="bottom"/>
          </w:tcPr>
          <w:p>
            <w:pPr>
              <w:pStyle w:val="TableContents"/>
              <w:bidi w:val="0"/>
              <w:spacing w:before="0" w:after="283"/>
              <w:jc w:val="left"/>
              <w:rPr/>
            </w:pPr>
            <w:r>
              <w:rPr/>
              <w:t>  </w:t>
            </w:r>
          </w:p>
        </w:tc>
        <w:tc>
          <w:tcPr>
            <w:tcW w:w="3129" w:type="dxa"/>
            <w:tcBorders/>
            <w:shd w:fill="CCEEFF" w:val="clear"/>
            <w:vAlign w:val="bottom"/>
          </w:tcPr>
          <w:p>
            <w:pPr>
              <w:pStyle w:val="TableContents"/>
              <w:bidi w:val="0"/>
              <w:spacing w:before="0" w:after="283"/>
              <w:jc w:val="center"/>
              <w:rPr/>
            </w:pPr>
            <w:r>
              <w:rPr/>
              <w:t>Approximately $14.9 to $15.9**</w:t>
            </w:r>
          </w:p>
        </w:tc>
        <w:tc>
          <w:tcPr>
            <w:tcW w:w="12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27.5% to 28.5%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gross margin (non-GAAP) excludes $0.3 million of stock-based compensation.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operating margin (non-GAAP) excludes $14.9 million to $15.9 million of stock-based compensation and dispute-related expenses.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Conference Call &amp; Webcast: </w:t>
      </w:r>
    </w:p>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team will host a conference call at 8:00 a.m. Eastern Time on July 30, 2026.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Details </w:t>
      </w:r>
    </w:p>
    <w:p>
      <w:pPr>
        <w:pStyle w:val="TextBody"/>
        <w:bidi w:val="0"/>
        <w:spacing w:before="120" w:after="0"/>
        <w:jc w:val="left"/>
        <w:rPr>
          <w:rFonts w:ascii="Times New Roman" w:hAnsi="Times New Roman"/>
          <w:sz w:val="20"/>
        </w:rPr>
      </w:pPr>
      <w:r>
        <w:rPr>
          <w:rFonts w:ascii="Times New Roman" w:hAnsi="Times New Roman"/>
          <w:sz w:val="20"/>
        </w:rPr>
        <w:t xml:space="preserve">Participants must register in advance to join the conference call using the link provided below. Conference access details, including dial-in information and a unique access PIN, will be provided in the confirmation email received upon registration. </w:t>
      </w:r>
    </w:p>
    <w:p>
      <w:pPr>
        <w:pStyle w:val="TextBody"/>
        <w:bidi w:val="0"/>
        <w:spacing w:before="240" w:after="0"/>
        <w:jc w:val="left"/>
        <w:rPr>
          <w:rFonts w:ascii="Times New Roman" w:hAnsi="Times New Roman"/>
          <w:sz w:val="20"/>
        </w:rPr>
      </w:pPr>
      <w:r>
        <w:rPr>
          <w:rFonts w:ascii="Times New Roman" w:hAnsi="Times New Roman"/>
          <w:sz w:val="20"/>
        </w:rPr>
        <w:t xml:space="preserve">Participant Online Registration: </w:t>
      </w:r>
    </w:p>
    <w:p>
      <w:pPr>
        <w:pStyle w:val="TextBody"/>
        <w:bidi w:val="0"/>
        <w:spacing w:before="120" w:after="0"/>
        <w:jc w:val="left"/>
        <w:rPr>
          <w:rFonts w:ascii="Times New Roman" w:hAnsi="Times New Roman"/>
          <w:sz w:val="20"/>
        </w:rPr>
      </w:pPr>
      <w:r>
        <w:rPr>
          <w:rFonts w:ascii="Times New Roman" w:hAnsi="Times New Roman"/>
          <w:sz w:val="20"/>
          <w:u w:val="single"/>
        </w:rPr>
        <w:t>https://register-conf.media-server.com/register/BIe2be1a4a643c47708d5248b81964b23d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webcast of the call will be available on the Company’s website at </w:t>
      </w:r>
      <w:r>
        <w:rPr>
          <w:rFonts w:ascii="Times New Roman" w:hAnsi="Times New Roman"/>
          <w:sz w:val="20"/>
          <w:u w:val="single"/>
        </w:rPr>
        <w:t>www.siliconmotion.com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Discussion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To supplement the Company’s unaudited consolidated financial results calculated in accordance with GAAP, the Company discloses certain non-GAAP financial measures that exclude stock-based compensation and other items, including gross profit (non-GAAP), gross margin (non-GAAP), operating expenses (non-GAAP), operating profit (non-GAAP), operating margin (non-GAAP), non-operating income (expense) (non-GAAP), net income (non-GAAP), and earnings per diluted ADS (non-GAAP). These non-GAAP measures are not in accordance with or an alternative to GAAP and may be different from similarly titled non-GAAP measures used by other companies. We believe that these non-GAAP measures have limitations in that they do not reflect all the amounts associated with the Company’s results of operations as determined in accordance with GAAP and that these measures should only be used to evaluate the Company’s results of operations in conjunction with the corresponding GAAP measures. The presentation of this additional information is not meant to be considered in isolation or as a substitute for the most directly comparable GAAP measure. We compensate for the limitations of our non-GAAP financial measures by relying upon GAAP results to gain a complete picture of our performance. </w:t>
      </w:r>
    </w:p>
    <w:p>
      <w:pPr>
        <w:pStyle w:val="TextBody"/>
        <w:bidi w:val="0"/>
        <w:spacing w:before="240" w:after="0"/>
        <w:jc w:val="left"/>
        <w:rPr>
          <w:rFonts w:ascii="Times New Roman" w:hAnsi="Times New Roman"/>
          <w:sz w:val="20"/>
        </w:rPr>
      </w:pPr>
      <w:r>
        <w:rPr>
          <w:rFonts w:ascii="Times New Roman" w:hAnsi="Times New Roman"/>
          <w:sz w:val="20"/>
        </w:rPr>
        <w:t xml:space="preserve">Our non-GAAP financial measures are provided to enhance the user’s overall understanding of our current financial performance and our prospects for the future. Specifically, we believe the non-GAAP results provide useful information to both management and investors as these non-GAAP results exclude certain expenses, gains and losses that we believe are not indicative of our core operating results and because they are consistent with the financial models and estimates published by many analysts who follow the Company. We use non-GAAP measures to evaluate the operating performance of our business, for comparison with our forecasts, and for benchmarking our performance externally against our competitors. Also, when evaluating potential acquisitions, we exclude the items described below from our consideration of the target’s performance and valuation. Since we find these measures to be useful, we believe that our investors benefit from seeing the results from management’s perspective in addition to seeing our GAAP results. We believe that these non-GAAP measures, when read in conjunction with the Company’s GAAP financials, provide useful information to investors by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make more meaningful period-to-period comparisons of the Company’s on-going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better identify trends in the Company’s underlying business and perform related trend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better understanding of how management plans and measures the Company’s underlying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easier way to compare the Company’s operating results against analyst financial models and operating results of our competitors that supplement their GAAP results with non-GAAP financial measures.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are explanations of each of the adjustments that we incorporate into our non-GAAP measures, as well as the reasons for excluding each of these individual items in our reconciliation of these non-GAAP financial measures: </w:t>
      </w:r>
    </w:p>
    <w:p>
      <w:pPr>
        <w:pStyle w:val="TextBody"/>
        <w:bidi w:val="0"/>
        <w:spacing w:before="240" w:after="0"/>
        <w:jc w:val="left"/>
        <w:rPr>
          <w:rFonts w:ascii="Times New Roman" w:hAnsi="Times New Roman"/>
          <w:sz w:val="20"/>
        </w:rPr>
      </w:pPr>
      <w:r>
        <w:rPr>
          <w:rFonts w:ascii="Times New Roman" w:hAnsi="Times New Roman"/>
          <w:i/>
          <w:sz w:val="20"/>
        </w:rPr>
        <w:t xml:space="preserve">Stock-based compensation expense </w:t>
      </w:r>
      <w:r>
        <w:rPr>
          <w:rFonts w:ascii="Times New Roman" w:hAnsi="Times New Roman"/>
          <w:sz w:val="20"/>
        </w:rPr>
        <w:t xml:space="preserve">consists of non-cash charges related to the fair value of restricted stock units awarded to employees. The Company believes that the exclusion of these non-cash charges provides for more accurate comparisons of our operating results to our peer companies due to the varying available valuation methodologies, subjective assumptions and the variety of award types. In addition, the Company believes it is useful to investors to understand the specific impact of share-based compensation on its operating results. </w:t>
      </w:r>
    </w:p>
    <w:p>
      <w:pPr>
        <w:pStyle w:val="TextBody"/>
        <w:bidi w:val="0"/>
        <w:spacing w:before="240" w:after="0"/>
        <w:jc w:val="left"/>
        <w:rPr>
          <w:rFonts w:ascii="Times New Roman" w:hAnsi="Times New Roman"/>
          <w:sz w:val="20"/>
        </w:rPr>
      </w:pPr>
      <w:r>
        <w:rPr>
          <w:rFonts w:ascii="Times New Roman" w:hAnsi="Times New Roman"/>
          <w:i/>
          <w:sz w:val="20"/>
        </w:rPr>
        <w:t>Dispute related expenses</w:t>
      </w:r>
      <w:r>
        <w:rPr>
          <w:rFonts w:ascii="Times New Roman" w:hAnsi="Times New Roman"/>
          <w:sz w:val="20"/>
        </w:rPr>
        <w:t xml:space="preserve"> consist of legal, consultant, other fees and resolution related to the dispute. </w:t>
      </w:r>
    </w:p>
    <w:p>
      <w:pPr>
        <w:pStyle w:val="TextBody"/>
        <w:bidi w:val="0"/>
        <w:spacing w:before="240" w:after="0"/>
        <w:jc w:val="left"/>
        <w:rPr>
          <w:rFonts w:ascii="Times New Roman" w:hAnsi="Times New Roman"/>
          <w:sz w:val="20"/>
        </w:rPr>
      </w:pPr>
      <w:r>
        <w:rPr>
          <w:rFonts w:ascii="Times New Roman" w:hAnsi="Times New Roman"/>
          <w:i/>
          <w:sz w:val="20"/>
        </w:rPr>
        <w:t xml:space="preserve">Foreign exchange loss (gain) </w:t>
      </w:r>
      <w:r>
        <w:rPr>
          <w:rFonts w:ascii="Times New Roman" w:hAnsi="Times New Roman"/>
          <w:sz w:val="20"/>
        </w:rPr>
        <w:t xml:space="preserve">consists of remeasurement gains and/or losses of non-US$ denominated current assets and current liabilities, as well as certain other balance sheet items, which result from the appreciation or depreciation of non-US$ currencies against the US$. We do not use financial instruments to manage the impact on our operations from changes in foreign exchange rates, and because our operations are subject to fluctuations in foreign exchange rates, we therefore exclude foreign exchange gains and losses when presenting non-GAAP financial measures. </w:t>
      </w:r>
    </w:p>
    <w:p>
      <w:pPr>
        <w:pStyle w:val="TextBody"/>
        <w:bidi w:val="0"/>
        <w:spacing w:before="240" w:after="0"/>
        <w:jc w:val="left"/>
        <w:rPr>
          <w:rFonts w:ascii="Times New Roman" w:hAnsi="Times New Roman"/>
          <w:sz w:val="20"/>
        </w:rPr>
      </w:pPr>
      <w:r>
        <w:rPr>
          <w:rFonts w:ascii="Times New Roman" w:hAnsi="Times New Roman"/>
          <w:i/>
          <w:sz w:val="20"/>
        </w:rPr>
        <w:t xml:space="preserve">Realized/Unrealized loss (gain) on investments </w:t>
      </w:r>
      <w:r>
        <w:rPr>
          <w:rFonts w:ascii="Times New Roman" w:hAnsi="Times New Roman"/>
          <w:sz w:val="20"/>
        </w:rPr>
        <w:t xml:space="preserve">relates to the disposal and net change in fair value of long-term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0" w:after="0"/>
        <w:jc w:val="center"/>
        <w:rPr>
          <w:rFonts w:ascii="Times New Roman" w:hAnsi="Times New Roman"/>
          <w:sz w:val="20"/>
        </w:rPr>
      </w:pPr>
      <w:r>
        <w:rPr>
          <w:rFonts w:ascii="Times New Roman" w:hAnsi="Times New Roman"/>
          <w:sz w:val="20"/>
        </w:rPr>
        <w:t xml:space="preserve">Consolidated Statements of Income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percentages and per ADS data,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1"/>
        <w:gridCol w:w="161"/>
        <w:gridCol w:w="60"/>
        <w:gridCol w:w="813"/>
        <w:gridCol w:w="278"/>
        <w:gridCol w:w="105"/>
        <w:gridCol w:w="60"/>
        <w:gridCol w:w="813"/>
        <w:gridCol w:w="278"/>
        <w:gridCol w:w="105"/>
        <w:gridCol w:w="60"/>
        <w:gridCol w:w="813"/>
        <w:gridCol w:w="278"/>
        <w:gridCol w:w="104"/>
        <w:gridCol w:w="68"/>
        <w:gridCol w:w="941"/>
        <w:gridCol w:w="313"/>
        <w:gridCol w:w="113"/>
        <w:gridCol w:w="68"/>
        <w:gridCol w:w="945"/>
        <w:gridCol w:w="288"/>
      </w:tblGrid>
      <w:tr>
        <w:trPr/>
        <w:tc>
          <w:tcPr>
            <w:tcW w:w="3541"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38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Three Months Ended</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Six Months Ended</w:t>
            </w:r>
          </w:p>
        </w:tc>
        <w:tc>
          <w:tcPr>
            <w:tcW w:w="288" w:type="dxa"/>
            <w:tcBorders/>
            <w:vAlign w:val="bottom"/>
          </w:tcPr>
          <w:p>
            <w:pPr>
              <w:pStyle w:val="TableContents"/>
              <w:bidi w:val="0"/>
              <w:spacing w:before="0" w:after="283"/>
              <w:jc w:val="left"/>
              <w:rPr/>
            </w:pPr>
            <w:r>
              <w:rPr/>
              <w:t> </w:t>
            </w:r>
          </w:p>
        </w:tc>
      </w:tr>
      <w:tr>
        <w:trPr/>
        <w:tc>
          <w:tcPr>
            <w:tcW w:w="354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283"/>
              <w:jc w:val="center"/>
              <w:rPr>
                <w:b/>
              </w:rPr>
            </w:pPr>
            <w:r>
              <w:rPr>
                <w:b/>
              </w:rPr>
              <w:t>Jun. 30,</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283"/>
              <w:jc w:val="center"/>
              <w:rPr>
                <w:b/>
              </w:rPr>
            </w:pPr>
            <w:r>
              <w:rPr>
                <w:b/>
              </w:rPr>
              <w:t>Mar. 31,</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283"/>
              <w:jc w:val="center"/>
              <w:rPr>
                <w:b/>
              </w:rPr>
            </w:pPr>
            <w:r>
              <w:rPr>
                <w:b/>
              </w:rPr>
              <w:t>Jun. 30,</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center"/>
              <w:rPr/>
            </w:pPr>
            <w:r>
              <w:rPr/>
              <w:t> </w:t>
            </w:r>
            <w:r>
              <w:rPr>
                <w:b/>
              </w:rPr>
              <w:t>Jun. 30, </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13" w:type="dxa"/>
            <w:gridSpan w:val="2"/>
            <w:tcBorders/>
            <w:vAlign w:val="bottom"/>
          </w:tcPr>
          <w:p>
            <w:pPr>
              <w:pStyle w:val="TableContents"/>
              <w:bidi w:val="0"/>
              <w:spacing w:before="0" w:after="283"/>
              <w:jc w:val="center"/>
              <w:rPr/>
            </w:pPr>
            <w:r>
              <w:rPr/>
              <w:t> </w:t>
            </w:r>
            <w:r>
              <w:rPr>
                <w:b/>
              </w:rPr>
              <w:t>Jun. 30, </w:t>
            </w:r>
          </w:p>
        </w:tc>
        <w:tc>
          <w:tcPr>
            <w:tcW w:w="288" w:type="dxa"/>
            <w:tcBorders/>
            <w:vAlign w:val="bottom"/>
          </w:tcPr>
          <w:p>
            <w:pPr>
              <w:pStyle w:val="TableContents"/>
              <w:bidi w:val="0"/>
              <w:spacing w:before="0" w:after="283"/>
              <w:jc w:val="left"/>
              <w:rPr/>
            </w:pPr>
            <w:r>
              <w:rPr/>
              <w:t> </w:t>
            </w:r>
          </w:p>
        </w:tc>
      </w:tr>
      <w:tr>
        <w:trPr/>
        <w:tc>
          <w:tcPr>
            <w:tcW w:w="354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283"/>
              <w:jc w:val="center"/>
              <w:rPr>
                <w:b/>
              </w:rPr>
            </w:pPr>
            <w:r>
              <w:rPr>
                <w:b/>
              </w:rPr>
              <w:t>2025</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283"/>
              <w:jc w:val="center"/>
              <w:rPr>
                <w:b/>
              </w:rPr>
            </w:pPr>
            <w:r>
              <w:rPr>
                <w:b/>
              </w:rPr>
              <w:t>2026</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283"/>
              <w:jc w:val="center"/>
              <w:rPr>
                <w:b/>
              </w:rPr>
            </w:pPr>
            <w:r>
              <w:rPr>
                <w:b/>
              </w:rPr>
              <w:t>2026</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center"/>
              <w:rPr>
                <w:b/>
              </w:rPr>
            </w:pPr>
            <w:r>
              <w:rPr>
                <w:b/>
              </w:rPr>
              <w:t>2025</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13" w:type="dxa"/>
            <w:gridSpan w:val="2"/>
            <w:tcBorders/>
            <w:vAlign w:val="bottom"/>
          </w:tcPr>
          <w:p>
            <w:pPr>
              <w:pStyle w:val="TableContents"/>
              <w:bidi w:val="0"/>
              <w:spacing w:before="0" w:after="283"/>
              <w:jc w:val="center"/>
              <w:rPr>
                <w:b/>
              </w:rPr>
            </w:pPr>
            <w:r>
              <w:rPr>
                <w:b/>
              </w:rPr>
              <w:t>2026</w:t>
            </w:r>
          </w:p>
        </w:tc>
        <w:tc>
          <w:tcPr>
            <w:tcW w:w="288" w:type="dxa"/>
            <w:tcBorders/>
            <w:vAlign w:val="bottom"/>
          </w:tcPr>
          <w:p>
            <w:pPr>
              <w:pStyle w:val="TableContents"/>
              <w:bidi w:val="0"/>
              <w:spacing w:before="0" w:after="283"/>
              <w:jc w:val="left"/>
              <w:rPr/>
            </w:pPr>
            <w:r>
              <w:rPr/>
              <w:t> </w:t>
            </w:r>
          </w:p>
        </w:tc>
      </w:tr>
      <w:tr>
        <w:trPr/>
        <w:tc>
          <w:tcPr>
            <w:tcW w:w="354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8" w:type="dxa"/>
            <w:tcBorders/>
            <w:vAlign w:val="bottom"/>
          </w:tcPr>
          <w:p>
            <w:pPr>
              <w:pStyle w:val="TableContents"/>
              <w:bidi w:val="0"/>
              <w:spacing w:before="0" w:after="283"/>
              <w:jc w:val="left"/>
              <w:rPr/>
            </w:pPr>
            <w:r>
              <w:rPr/>
              <w:t> </w:t>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198,675</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342,105</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451,001</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365,167</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793,106</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103,988</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180,845</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224,784</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192,113</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405,629</w:t>
            </w:r>
          </w:p>
        </w:tc>
        <w:tc>
          <w:tcPr>
            <w:tcW w:w="288" w:type="dxa"/>
            <w:tcBorders/>
            <w:vAlign w:val="bottom"/>
          </w:tcPr>
          <w:p>
            <w:pPr>
              <w:pStyle w:val="TableContents"/>
              <w:bidi w:val="0"/>
              <w:spacing w:before="0" w:after="283"/>
              <w:jc w:val="left"/>
              <w:rPr/>
            </w:pPr>
            <w:r>
              <w:rPr/>
              <w:t> </w:t>
            </w:r>
          </w:p>
        </w:tc>
      </w:tr>
      <w:tr>
        <w:trPr/>
        <w:tc>
          <w:tcPr>
            <w:tcW w:w="354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5"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94,687</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161,260</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226,217</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173,054</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387,477</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&amp; development</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58,147</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86,240</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104,654</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113,173</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190,894</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Sales &amp; marketing</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7,093</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13,288</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13,064</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14,208</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26,352</w:t>
            </w:r>
          </w:p>
        </w:tc>
        <w:tc>
          <w:tcPr>
            <w:tcW w:w="288" w:type="dxa"/>
            <w:tcBorders/>
            <w:vAlign w:val="bottom"/>
          </w:tcPr>
          <w:p>
            <w:pPr>
              <w:pStyle w:val="TableContents"/>
              <w:bidi w:val="0"/>
              <w:spacing w:before="0" w:after="283"/>
              <w:jc w:val="left"/>
              <w:rPr/>
            </w:pPr>
            <w:r>
              <w:rPr/>
              <w:t> </w:t>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&amp; administrative</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7,118</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9,528</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7,385</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13,578</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16,913</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5"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22,329</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52,204</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101,114</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32,095</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153,318</w:t>
            </w:r>
          </w:p>
        </w:tc>
        <w:tc>
          <w:tcPr>
            <w:tcW w:w="288" w:type="dxa"/>
            <w:tcBorders/>
            <w:vAlign w:val="bottom"/>
          </w:tcPr>
          <w:p>
            <w:pPr>
              <w:pStyle w:val="TableContents"/>
              <w:bidi w:val="0"/>
              <w:spacing w:before="0" w:after="283"/>
              <w:jc w:val="left"/>
              <w:rPr/>
            </w:pPr>
            <w:r>
              <w:rPr/>
              <w:t> </w:t>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Non-operating income (expense)</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941"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945"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2,706</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1,617</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1,390</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5,635</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3,007</w:t>
            </w:r>
          </w:p>
        </w:tc>
        <w:tc>
          <w:tcPr>
            <w:tcW w:w="288" w:type="dxa"/>
            <w:tcBorders/>
            <w:vAlign w:val="bottom"/>
          </w:tcPr>
          <w:p>
            <w:pPr>
              <w:pStyle w:val="TableContents"/>
              <w:bidi w:val="0"/>
              <w:spacing w:before="0" w:after="283"/>
              <w:jc w:val="left"/>
              <w:rPr/>
            </w:pPr>
            <w:r>
              <w:rPr/>
              <w:t> </w:t>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 (loss), net</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(3,302</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16</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(381</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(2,929</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(365</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Realized/Unrealized gain (loss) on investments, net</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(1,051</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21,759</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74,727</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2,245</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96,486</w:t>
            </w:r>
          </w:p>
        </w:tc>
        <w:tc>
          <w:tcPr>
            <w:tcW w:w="288" w:type="dxa"/>
            <w:tcBorders/>
            <w:vAlign w:val="bottom"/>
          </w:tcPr>
          <w:p>
            <w:pPr>
              <w:pStyle w:val="TableContents"/>
              <w:bidi w:val="0"/>
              <w:spacing w:before="0" w:after="283"/>
              <w:jc w:val="left"/>
              <w:rPr/>
            </w:pPr>
            <w:r>
              <w:rPr/>
              <w:t> </w:t>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— </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5"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(1,646</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23,392</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75,736</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4,952</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99,128</w:t>
            </w:r>
          </w:p>
        </w:tc>
        <w:tc>
          <w:tcPr>
            <w:tcW w:w="288" w:type="dxa"/>
            <w:tcBorders/>
            <w:vAlign w:val="bottom"/>
          </w:tcPr>
          <w:p>
            <w:pPr>
              <w:pStyle w:val="TableContents"/>
              <w:bidi w:val="0"/>
              <w:spacing w:before="0" w:after="283"/>
              <w:jc w:val="left"/>
              <w:rPr/>
            </w:pPr>
            <w:r>
              <w:rPr/>
              <w:t> </w:t>
            </w:r>
          </w:p>
        </w:tc>
      </w:tr>
      <w:tr>
        <w:trPr/>
        <w:tc>
          <w:tcPr>
            <w:tcW w:w="354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5"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20,683</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75,596</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176,850</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37,047</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252,446</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4,372</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8,797</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40,738</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1,273</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49,535</w:t>
            </w:r>
          </w:p>
        </w:tc>
        <w:tc>
          <w:tcPr>
            <w:tcW w:w="288" w:type="dxa"/>
            <w:tcBorders/>
            <w:vAlign w:val="bottom"/>
          </w:tcPr>
          <w:p>
            <w:pPr>
              <w:pStyle w:val="TableContents"/>
              <w:bidi w:val="0"/>
              <w:spacing w:before="0" w:after="283"/>
              <w:jc w:val="left"/>
              <w:rPr/>
            </w:pPr>
            <w:r>
              <w:rPr/>
              <w:t> </w:t>
            </w:r>
          </w:p>
        </w:tc>
      </w:tr>
      <w:tr>
        <w:trPr/>
        <w:tc>
          <w:tcPr>
            <w:tcW w:w="354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5"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16,311</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66,799</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136,112</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35,774</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202,911</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945"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basic ADS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0.49</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1.98</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4.01</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1.06</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6.00</w:t>
            </w:r>
          </w:p>
        </w:tc>
        <w:tc>
          <w:tcPr>
            <w:tcW w:w="288" w:type="dxa"/>
            <w:tcBorders/>
            <w:vAlign w:val="bottom"/>
          </w:tcPr>
          <w:p>
            <w:pPr>
              <w:pStyle w:val="TableContents"/>
              <w:bidi w:val="0"/>
              <w:spacing w:before="0" w:after="283"/>
              <w:jc w:val="left"/>
              <w:rPr/>
            </w:pPr>
            <w:r>
              <w:rPr/>
              <w:t> </w:t>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diluted ADS</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0.49</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1.97</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3.99</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1.06</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5.97</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b/>
                <w:sz w:val="20"/>
              </w:rPr>
            </w:pPr>
            <w:r>
              <w:rPr>
                <w:rFonts w:ascii="Times New Roman" w:hAnsi="Times New Roman"/>
                <w:b/>
                <w:sz w:val="20"/>
              </w:rPr>
              <w:t>Margin Analysis: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47.7</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47.1</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50.2</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47.4</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48.9</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margin</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11.2</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15.3</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22.4</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8.8</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19.3</w:t>
            </w:r>
          </w:p>
        </w:tc>
        <w:tc>
          <w:tcPr>
            <w:tcW w:w="288" w:type="dxa"/>
            <w:tcBorders/>
            <w:vAlign w:val="bottom"/>
          </w:tcPr>
          <w:p>
            <w:pPr>
              <w:pStyle w:val="TableContents"/>
              <w:bidi w:val="0"/>
              <w:spacing w:before="0" w:after="283"/>
              <w:jc w:val="left"/>
              <w:rPr/>
            </w:pPr>
            <w:r>
              <w:rPr/>
              <w:t>% </w:t>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margin</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8.2</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19.5</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30.2</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9.8</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25.6</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b/>
                <w:sz w:val="20"/>
              </w:rPr>
            </w:pPr>
            <w:r>
              <w:rPr>
                <w:rFonts w:ascii="Times New Roman" w:hAnsi="Times New Roman"/>
                <w:b/>
                <w:sz w:val="20"/>
              </w:rPr>
              <w:t>Additional Data:</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3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avg. ADS equivalents</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33,557</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33,678</w:t>
            </w:r>
          </w:p>
        </w:tc>
        <w:tc>
          <w:tcPr>
            <w:tcW w:w="27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33,908</w:t>
            </w:r>
          </w:p>
        </w:tc>
        <w:tc>
          <w:tcPr>
            <w:tcW w:w="27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33,596</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33,793</w:t>
            </w:r>
          </w:p>
        </w:tc>
        <w:tc>
          <w:tcPr>
            <w:tcW w:w="288" w:type="dxa"/>
            <w:tcBorders/>
            <w:shd w:fill="CCEEFF" w:val="clear"/>
            <w:vAlign w:val="bottom"/>
          </w:tcPr>
          <w:p>
            <w:pPr>
              <w:pStyle w:val="TableContents"/>
              <w:bidi w:val="0"/>
              <w:spacing w:before="0" w:after="283"/>
              <w:jc w:val="left"/>
              <w:rPr/>
            </w:pPr>
            <w:r>
              <w:rPr/>
              <w:t> </w:t>
            </w:r>
          </w:p>
        </w:tc>
      </w:tr>
      <w:tr>
        <w:trPr/>
        <w:tc>
          <w:tcPr>
            <w:tcW w:w="3541" w:type="dxa"/>
            <w:tcBorders/>
          </w:tcPr>
          <w:p>
            <w:pPr>
              <w:pStyle w:val="TableContents"/>
              <w:bidi w:val="0"/>
              <w:spacing w:before="0" w:after="0"/>
              <w:jc w:val="left"/>
              <w:rPr>
                <w:rFonts w:ascii="Times New Roman" w:hAnsi="Times New Roman"/>
                <w:sz w:val="20"/>
              </w:rPr>
            </w:pPr>
            <w:r>
              <w:rPr>
                <w:rFonts w:ascii="Times New Roman" w:hAnsi="Times New Roman"/>
                <w:sz w:val="20"/>
              </w:rPr>
              <w:t>Diluted ADS equivalents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33,562</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33,916</w:t>
            </w:r>
          </w:p>
        </w:tc>
        <w:tc>
          <w:tcPr>
            <w:tcW w:w="27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34,097</w:t>
            </w:r>
          </w:p>
        </w:tc>
        <w:tc>
          <w:tcPr>
            <w:tcW w:w="27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33,681</w:t>
            </w:r>
          </w:p>
        </w:tc>
        <w:tc>
          <w:tcPr>
            <w:tcW w:w="3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34,006</w:t>
            </w:r>
          </w:p>
        </w:tc>
        <w:tc>
          <w:tcPr>
            <w:tcW w:w="28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0" w:after="0"/>
        <w:jc w:val="center"/>
        <w:rPr>
          <w:rFonts w:ascii="Times New Roman" w:hAnsi="Times New Roman"/>
          <w:sz w:val="20"/>
        </w:rPr>
      </w:pPr>
      <w:r>
        <w:rPr>
          <w:rFonts w:ascii="Times New Roman" w:hAnsi="Times New Roman"/>
          <w:sz w:val="20"/>
        </w:rPr>
        <w:t xml:space="preserve">Reconciliation of GAAP to Non-GAAP Operating Results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percentages and per ADS data,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49"/>
        <w:gridCol w:w="269"/>
        <w:gridCol w:w="141"/>
        <w:gridCol w:w="694"/>
        <w:gridCol w:w="275"/>
        <w:gridCol w:w="211"/>
        <w:gridCol w:w="140"/>
        <w:gridCol w:w="801"/>
        <w:gridCol w:w="275"/>
        <w:gridCol w:w="211"/>
        <w:gridCol w:w="140"/>
        <w:gridCol w:w="801"/>
        <w:gridCol w:w="275"/>
        <w:gridCol w:w="211"/>
        <w:gridCol w:w="140"/>
        <w:gridCol w:w="832"/>
        <w:gridCol w:w="275"/>
        <w:gridCol w:w="211"/>
        <w:gridCol w:w="140"/>
        <w:gridCol w:w="831"/>
        <w:gridCol w:w="283"/>
      </w:tblGrid>
      <w:tr>
        <w:trPr/>
        <w:tc>
          <w:tcPr>
            <w:tcW w:w="3049"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049"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8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Three Months Ended</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4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Six Months Ended</w:t>
            </w:r>
          </w:p>
        </w:tc>
        <w:tc>
          <w:tcPr>
            <w:tcW w:w="283" w:type="dxa"/>
            <w:tcBorders/>
            <w:vAlign w:val="bottom"/>
          </w:tcPr>
          <w:p>
            <w:pPr>
              <w:pStyle w:val="TableContents"/>
              <w:bidi w:val="0"/>
              <w:spacing w:before="0" w:after="283"/>
              <w:jc w:val="left"/>
              <w:rPr/>
            </w:pPr>
            <w:r>
              <w:rPr/>
              <w:t> </w:t>
            </w:r>
          </w:p>
        </w:tc>
      </w:tr>
      <w:tr>
        <w:trPr/>
        <w:tc>
          <w:tcPr>
            <w:tcW w:w="3049"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br/>
              <w:t>2025</w:t>
            </w:r>
            <w:r>
              <w:rPr/>
              <w:br/>
            </w:r>
            <w:r>
              <w:rPr>
                <w:b/>
              </w:rPr>
              <w:t>($)</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pPr>
            <w:r>
              <w:rPr>
                <w:b/>
              </w:rPr>
              <w:t>Mar. 31,</w:t>
              <w:br/>
              <w:t>2026</w:t>
            </w:r>
            <w:r>
              <w:rPr/>
              <w:br/>
            </w:r>
            <w:r>
              <w:rPr>
                <w:b/>
              </w:rPr>
              <w:t>($)</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br/>
              <w:t>2026</w:t>
            </w:r>
            <w:r>
              <w:rPr/>
              <w:br/>
            </w:r>
            <w:r>
              <w:rPr>
                <w:b/>
              </w:rPr>
              <w:t>($)</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2025</w:t>
            </w:r>
            <w:r>
              <w:rPr/>
              <w:br/>
            </w:r>
            <w:r>
              <w:rPr>
                <w:b/>
              </w:rPr>
              <w:t>($)</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2026</w:t>
            </w:r>
            <w:r>
              <w:rPr/>
              <w:br/>
            </w:r>
            <w:r>
              <w:rPr>
                <w:b/>
              </w:rPr>
              <w:t>($)</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 (GAAP)</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94,687</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161,260</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226,217</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173,054</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387,477</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Gross margin (GAAP)</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47.7</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47.1</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50.2</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47.4</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48.9</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(A)</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134</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74</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208</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 (non-GAAP)</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94,687</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161,394</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226,291</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173,127</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387,685</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Gross margin (non-GAAP)</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47.7</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47.2</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50.2</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47.4</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48.9</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(GAAP)</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72,358</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109,056</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125,103</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140,959</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234,159</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(A)</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(175</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(8,240</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(3,344</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(4,913</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(11,584</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sz w:val="20"/>
              </w:rPr>
            </w:pPr>
            <w:r>
              <w:rPr>
                <w:rFonts w:ascii="Times New Roman" w:hAnsi="Times New Roman"/>
                <w:sz w:val="20"/>
              </w:rPr>
              <w:t>Dispute related expenses</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(2,841</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(1,604</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320</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(3,118</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(1,284</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 (non-GAAP)</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69,342</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99,212</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122,079</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132,928</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221,291</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profit (GAAP)</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22,329</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52,204</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101,114</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32,095</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153,318</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Operating margin (GAAP)</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11.2</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15.3</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22.4</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8.8</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19.3</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sz w:val="20"/>
              </w:rPr>
            </w:pPr>
            <w:r>
              <w:rPr>
                <w:rFonts w:ascii="Times New Roman" w:hAnsi="Times New Roman"/>
                <w:sz w:val="20"/>
              </w:rPr>
              <w:t>Total adjustments to operating profit</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3,016</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9,978</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3,098</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8,104</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13,076</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profit (non-GAAP)</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25,345</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62,182</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104,212</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40,199</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166,394</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Operating margin (non-GAAP)</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12.8</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18.2</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23.1</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11.0</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21.0</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income (expense) (GAAP)</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(1,646</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23,392</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75,736</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4,952</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99,128</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loss (gain), net</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3,302</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381</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2,929</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365</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Realized/Unrealized loss (gain) on investments, net</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1,051</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(21,759</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(74,727</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(2,245</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(96,486</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b/>
                <w:sz w:val="20"/>
              </w:rPr>
            </w:pPr>
            <w:r>
              <w:rPr>
                <w:rFonts w:ascii="Times New Roman" w:hAnsi="Times New Roman"/>
                <w:b/>
                <w:sz w:val="20"/>
              </w:rPr>
              <w:t>Non-operating income (expense) (non-GAAP)</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2,707</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1,617</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1,390</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5,636</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3,007</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(GAAP)</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16,311</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66,799</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136,112</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35,774</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202,911</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sz w:val="20"/>
              </w:rPr>
            </w:pPr>
            <w:r>
              <w:rPr>
                <w:rFonts w:ascii="Times New Roman" w:hAnsi="Times New Roman"/>
                <w:sz w:val="20"/>
              </w:rPr>
              <w:t>Total pre-tax impact of non-GAAP adjustments</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7,369</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(11,797</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(71,248</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8,788</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(83,045</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impact of non-GAAP adjustments</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(670</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(1,153</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18,281</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(1,280</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17,128</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(non-GAAP)</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23,010</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53,849</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83,145</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43,282</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136,994</w:t>
            </w:r>
          </w:p>
        </w:tc>
        <w:tc>
          <w:tcPr>
            <w:tcW w:w="283"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Earnings per diluted ADS (GAAP)</w:t>
            </w:r>
          </w:p>
        </w:tc>
        <w:tc>
          <w:tcPr>
            <w:tcW w:w="2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0.49</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1.97</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3.99</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1.06</w:t>
            </w:r>
          </w:p>
        </w:tc>
        <w:tc>
          <w:tcPr>
            <w:tcW w:w="2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5.97</w:t>
            </w:r>
          </w:p>
        </w:tc>
        <w:tc>
          <w:tcPr>
            <w:tcW w:w="283"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per diluted ADS (non-GAAP)</w:t>
            </w:r>
          </w:p>
        </w:tc>
        <w:tc>
          <w:tcPr>
            <w:tcW w:w="2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0.69</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1.58</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2.43</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1.28</w:t>
            </w:r>
          </w:p>
        </w:tc>
        <w:tc>
          <w:tcPr>
            <w:tcW w:w="27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4.01</w:t>
            </w:r>
          </w:p>
        </w:tc>
        <w:tc>
          <w:tcPr>
            <w:tcW w:w="28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85"/>
        <w:gridCol w:w="202"/>
        <w:gridCol w:w="60"/>
        <w:gridCol w:w="681"/>
        <w:gridCol w:w="60"/>
        <w:gridCol w:w="202"/>
        <w:gridCol w:w="60"/>
        <w:gridCol w:w="681"/>
        <w:gridCol w:w="60"/>
        <w:gridCol w:w="202"/>
        <w:gridCol w:w="60"/>
        <w:gridCol w:w="681"/>
        <w:gridCol w:w="60"/>
        <w:gridCol w:w="202"/>
        <w:gridCol w:w="60"/>
        <w:gridCol w:w="681"/>
        <w:gridCol w:w="60"/>
        <w:gridCol w:w="202"/>
        <w:gridCol w:w="60"/>
        <w:gridCol w:w="681"/>
        <w:gridCol w:w="65"/>
      </w:tblGrid>
      <w:tr>
        <w:trPr/>
        <w:tc>
          <w:tcPr>
            <w:tcW w:w="518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Shares used in computing earnings per diluted ADS (GAAP)</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33,562</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33,916</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34,097</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33,681</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34,006</w:t>
            </w:r>
          </w:p>
        </w:tc>
        <w:tc>
          <w:tcPr>
            <w:tcW w:w="65" w:type="dxa"/>
            <w:tcBorders/>
            <w:shd w:fill="CCEEFF" w:val="clear"/>
            <w:vAlign w:val="bottom"/>
          </w:tcPr>
          <w:p>
            <w:pPr>
              <w:pStyle w:val="TableContents"/>
              <w:bidi w:val="0"/>
              <w:spacing w:before="0" w:after="283"/>
              <w:jc w:val="left"/>
              <w:rPr/>
            </w:pPr>
            <w:r>
              <w:rPr/>
              <w:t> </w:t>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Non-GAAP adjustments</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221</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188</w:t>
            </w:r>
          </w:p>
        </w:tc>
        <w:tc>
          <w:tcPr>
            <w:tcW w:w="65" w:type="dxa"/>
            <w:tcBorders/>
            <w:vAlign w:val="bottom"/>
          </w:tcPr>
          <w:p>
            <w:pPr>
              <w:pStyle w:val="TableContents"/>
              <w:bidi w:val="0"/>
              <w:spacing w:before="0" w:after="283"/>
              <w:jc w:val="left"/>
              <w:rPr/>
            </w:pPr>
            <w:r>
              <w:rPr/>
              <w:t> </w:t>
            </w:r>
          </w:p>
        </w:tc>
      </w:tr>
      <w:tr>
        <w:trPr/>
        <w:tc>
          <w:tcPr>
            <w:tcW w:w="51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Shares used in computing earnings per diluted ADS (non-GAAP)</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33,580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34,137</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34,251</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33,714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34,194</w:t>
            </w:r>
          </w:p>
        </w:tc>
        <w:tc>
          <w:tcPr>
            <w:tcW w:w="65" w:type="dxa"/>
            <w:tcBorders/>
            <w:shd w:fill="CCEEFF" w:val="clear"/>
            <w:vAlign w:val="bottom"/>
          </w:tcPr>
          <w:p>
            <w:pPr>
              <w:pStyle w:val="TableContents"/>
              <w:bidi w:val="0"/>
              <w:spacing w:before="0" w:after="283"/>
              <w:jc w:val="left"/>
              <w:rPr/>
            </w:pPr>
            <w:r>
              <w:rPr/>
              <w:t> </w:t>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Excludes stock-based compensation as follows:</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1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134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74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208</w:t>
            </w:r>
          </w:p>
        </w:tc>
        <w:tc>
          <w:tcPr>
            <w:tcW w:w="65" w:type="dxa"/>
            <w:tcBorders/>
            <w:shd w:fill="CCEEFF" w:val="clear"/>
            <w:vAlign w:val="bottom"/>
          </w:tcPr>
          <w:p>
            <w:pPr>
              <w:pStyle w:val="TableContents"/>
              <w:bidi w:val="0"/>
              <w:spacing w:before="0" w:after="283"/>
              <w:jc w:val="left"/>
              <w:rPr/>
            </w:pPr>
            <w:r>
              <w:rPr/>
              <w:t> </w:t>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Research &amp; development</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4,788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1,630</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3,058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6,418</w:t>
            </w:r>
          </w:p>
        </w:tc>
        <w:tc>
          <w:tcPr>
            <w:tcW w:w="65" w:type="dxa"/>
            <w:tcBorders/>
            <w:vAlign w:val="bottom"/>
          </w:tcPr>
          <w:p>
            <w:pPr>
              <w:pStyle w:val="TableContents"/>
              <w:bidi w:val="0"/>
              <w:spacing w:before="0" w:after="283"/>
              <w:jc w:val="left"/>
              <w:rPr/>
            </w:pPr>
            <w:r>
              <w:rPr/>
              <w:t> </w:t>
            </w:r>
          </w:p>
        </w:tc>
      </w:tr>
      <w:tr>
        <w:trPr/>
        <w:tc>
          <w:tcPr>
            <w:tcW w:w="51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&amp; marketing</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79</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2,007</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863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941</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2,870</w:t>
            </w:r>
          </w:p>
        </w:tc>
        <w:tc>
          <w:tcPr>
            <w:tcW w:w="65" w:type="dxa"/>
            <w:tcBorders/>
            <w:shd w:fill="CCEEFF" w:val="clear"/>
            <w:vAlign w:val="bottom"/>
          </w:tcPr>
          <w:p>
            <w:pPr>
              <w:pStyle w:val="TableContents"/>
              <w:bidi w:val="0"/>
              <w:spacing w:before="0" w:after="283"/>
              <w:jc w:val="left"/>
              <w:rPr/>
            </w:pPr>
            <w:r>
              <w:rPr/>
              <w:t> </w:t>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General &amp; administrative</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851</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914</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2,296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0" w:after="0"/>
        <w:jc w:val="center"/>
        <w:rPr>
          <w:rFonts w:ascii="Times New Roman" w:hAnsi="Times New Roman"/>
          <w:sz w:val="20"/>
        </w:rPr>
      </w:pPr>
      <w:r>
        <w:rPr>
          <w:rFonts w:ascii="Times New Roman" w:hAnsi="Times New Roman"/>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75"/>
        <w:gridCol w:w="138"/>
        <w:gridCol w:w="60"/>
        <w:gridCol w:w="984"/>
        <w:gridCol w:w="60"/>
        <w:gridCol w:w="138"/>
        <w:gridCol w:w="60"/>
        <w:gridCol w:w="984"/>
        <w:gridCol w:w="60"/>
        <w:gridCol w:w="138"/>
        <w:gridCol w:w="60"/>
        <w:gridCol w:w="984"/>
        <w:gridCol w:w="64"/>
      </w:tblGrid>
      <w:tr>
        <w:trPr/>
        <w:tc>
          <w:tcPr>
            <w:tcW w:w="647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47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2025</w:t>
            </w:r>
            <w:r>
              <w:rPr/>
              <w:br/>
            </w:r>
            <w:r>
              <w:rPr>
                <w:b/>
              </w:rPr>
              <w:t>($)</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pPr>
            <w:r>
              <w:rPr>
                <w:b/>
              </w:rPr>
              <w:t>Mar. 31,</w:t>
            </w:r>
            <w:r>
              <w:rPr/>
              <w:br/>
            </w:r>
            <w:r>
              <w:rPr>
                <w:b/>
              </w:rPr>
              <w:t>2026</w:t>
            </w:r>
            <w:r>
              <w:rPr/>
              <w:br/>
            </w:r>
            <w:r>
              <w:rPr>
                <w:b/>
              </w:rPr>
              <w:t>($)</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2026</w:t>
            </w:r>
            <w:r>
              <w:rPr/>
              <w:br/>
            </w:r>
            <w:r>
              <w:rPr>
                <w:b/>
              </w:rPr>
              <w:t>($)</w:t>
            </w:r>
          </w:p>
        </w:tc>
        <w:tc>
          <w:tcPr>
            <w:tcW w:w="64" w:type="dxa"/>
            <w:tcBorders/>
            <w:vAlign w:val="bottom"/>
          </w:tcPr>
          <w:p>
            <w:pPr>
              <w:pStyle w:val="TableContents"/>
              <w:bidi w:val="0"/>
              <w:spacing w:before="0" w:after="283"/>
              <w:jc w:val="left"/>
              <w:rPr/>
            </w:pPr>
            <w:r>
              <w:rPr/>
              <w:t> </w:t>
            </w:r>
          </w:p>
        </w:tc>
      </w:tr>
      <w:tr>
        <w:trPr/>
        <w:tc>
          <w:tcPr>
            <w:tcW w:w="6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208,043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135,677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74,367</w:t>
            </w:r>
          </w:p>
        </w:tc>
        <w:tc>
          <w:tcPr>
            <w:tcW w:w="64" w:type="dxa"/>
            <w:tcBorders/>
            <w:shd w:fill="CCEEFF" w:val="clear"/>
            <w:vAlign w:val="bottom"/>
          </w:tcPr>
          <w:p>
            <w:pPr>
              <w:pStyle w:val="TableContents"/>
              <w:bidi w:val="0"/>
              <w:spacing w:before="0" w:after="283"/>
              <w:jc w:val="left"/>
              <w:rPr/>
            </w:pPr>
            <w:r>
              <w:rPr/>
              <w:t> </w:t>
            </w:r>
          </w:p>
        </w:tc>
      </w:tr>
      <w:tr>
        <w:trPr/>
        <w:tc>
          <w:tcPr>
            <w:tcW w:w="647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220,924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220,445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323,638</w:t>
            </w:r>
          </w:p>
        </w:tc>
        <w:tc>
          <w:tcPr>
            <w:tcW w:w="64" w:type="dxa"/>
            <w:tcBorders/>
            <w:vAlign w:val="bottom"/>
          </w:tcPr>
          <w:p>
            <w:pPr>
              <w:pStyle w:val="TableContents"/>
              <w:bidi w:val="0"/>
              <w:spacing w:before="0" w:after="283"/>
              <w:jc w:val="left"/>
              <w:rPr/>
            </w:pPr>
            <w:r>
              <w:rPr/>
              <w:t> </w:t>
            </w:r>
          </w:p>
        </w:tc>
      </w:tr>
      <w:tr>
        <w:trPr/>
        <w:tc>
          <w:tcPr>
            <w:tcW w:w="6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208,005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515,250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673,042</w:t>
            </w:r>
          </w:p>
        </w:tc>
        <w:tc>
          <w:tcPr>
            <w:tcW w:w="64" w:type="dxa"/>
            <w:tcBorders/>
            <w:shd w:fill="CCEEFF" w:val="clear"/>
            <w:vAlign w:val="bottom"/>
          </w:tcPr>
          <w:p>
            <w:pPr>
              <w:pStyle w:val="TableContents"/>
              <w:bidi w:val="0"/>
              <w:spacing w:before="0" w:after="283"/>
              <w:jc w:val="left"/>
              <w:rPr/>
            </w:pPr>
            <w:r>
              <w:rPr/>
              <w:t> </w:t>
            </w:r>
          </w:p>
        </w:tc>
      </w:tr>
      <w:tr>
        <w:trPr/>
        <w:tc>
          <w:tcPr>
            <w:tcW w:w="647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assets – current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70,308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71,268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103,918</w:t>
            </w:r>
          </w:p>
        </w:tc>
        <w:tc>
          <w:tcPr>
            <w:tcW w:w="64" w:type="dxa"/>
            <w:tcBorders/>
            <w:vAlign w:val="bottom"/>
          </w:tcPr>
          <w:p>
            <w:pPr>
              <w:pStyle w:val="TableContents"/>
              <w:bidi w:val="0"/>
              <w:spacing w:before="0" w:after="283"/>
              <w:jc w:val="left"/>
              <w:rPr/>
            </w:pPr>
            <w:r>
              <w:rPr/>
              <w:t> </w:t>
            </w:r>
          </w:p>
        </w:tc>
      </w:tr>
      <w:tr>
        <w:trPr/>
        <w:tc>
          <w:tcPr>
            <w:tcW w:w="6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68,040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58,915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41,526</w:t>
            </w:r>
          </w:p>
        </w:tc>
        <w:tc>
          <w:tcPr>
            <w:tcW w:w="64" w:type="dxa"/>
            <w:tcBorders/>
            <w:shd w:fill="CCEEFF" w:val="clear"/>
            <w:vAlign w:val="bottom"/>
          </w:tcPr>
          <w:p>
            <w:pPr>
              <w:pStyle w:val="TableContents"/>
              <w:bidi w:val="0"/>
              <w:spacing w:before="0" w:after="283"/>
              <w:jc w:val="left"/>
              <w:rPr/>
            </w:pPr>
            <w:r>
              <w:rPr/>
              <w:t> </w:t>
            </w:r>
          </w:p>
        </w:tc>
      </w:tr>
      <w:tr>
        <w:trPr/>
        <w:tc>
          <w:tcPr>
            <w:tcW w:w="647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47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775,320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1,001,555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1,216,491</w:t>
            </w:r>
          </w:p>
        </w:tc>
        <w:tc>
          <w:tcPr>
            <w:tcW w:w="64" w:type="dxa"/>
            <w:tcBorders/>
            <w:vAlign w:val="bottom"/>
          </w:tcPr>
          <w:p>
            <w:pPr>
              <w:pStyle w:val="TableContents"/>
              <w:bidi w:val="0"/>
              <w:spacing w:before="0" w:after="283"/>
              <w:jc w:val="left"/>
              <w:rPr/>
            </w:pPr>
            <w:r>
              <w:rPr/>
              <w:t> </w:t>
            </w:r>
          </w:p>
        </w:tc>
      </w:tr>
      <w:tr>
        <w:trPr/>
        <w:tc>
          <w:tcPr>
            <w:tcW w:w="6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19,620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51,823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127,403</w:t>
            </w:r>
          </w:p>
        </w:tc>
        <w:tc>
          <w:tcPr>
            <w:tcW w:w="64" w:type="dxa"/>
            <w:tcBorders/>
            <w:shd w:fill="CCEEFF" w:val="clear"/>
            <w:vAlign w:val="bottom"/>
          </w:tcPr>
          <w:p>
            <w:pPr>
              <w:pStyle w:val="TableContents"/>
              <w:bidi w:val="0"/>
              <w:spacing w:before="0" w:after="283"/>
              <w:jc w:val="left"/>
              <w:rPr/>
            </w:pPr>
            <w:r>
              <w:rPr/>
              <w:t> </w:t>
            </w:r>
          </w:p>
        </w:tc>
      </w:tr>
      <w:tr>
        <w:trPr/>
        <w:tc>
          <w:tcPr>
            <w:tcW w:w="6475"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208,826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224,553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232,805</w:t>
            </w:r>
          </w:p>
        </w:tc>
        <w:tc>
          <w:tcPr>
            <w:tcW w:w="64" w:type="dxa"/>
            <w:tcBorders/>
            <w:vAlign w:val="bottom"/>
          </w:tcPr>
          <w:p>
            <w:pPr>
              <w:pStyle w:val="TableContents"/>
              <w:bidi w:val="0"/>
              <w:spacing w:before="0" w:after="283"/>
              <w:jc w:val="left"/>
              <w:rPr/>
            </w:pPr>
            <w:r>
              <w:rPr/>
              <w:t> </w:t>
            </w:r>
          </w:p>
        </w:tc>
      </w:tr>
      <w:tr>
        <w:trPr/>
        <w:tc>
          <w:tcPr>
            <w:tcW w:w="6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29,997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29,077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28,532</w:t>
            </w:r>
          </w:p>
        </w:tc>
        <w:tc>
          <w:tcPr>
            <w:tcW w:w="64" w:type="dxa"/>
            <w:tcBorders/>
            <w:shd w:fill="CCEEFF" w:val="clear"/>
            <w:vAlign w:val="bottom"/>
          </w:tcPr>
          <w:p>
            <w:pPr>
              <w:pStyle w:val="TableContents"/>
              <w:bidi w:val="0"/>
              <w:spacing w:before="0" w:after="283"/>
              <w:jc w:val="left"/>
              <w:rPr/>
            </w:pPr>
            <w:r>
              <w:rPr/>
              <w:t> </w:t>
            </w:r>
          </w:p>
        </w:tc>
      </w:tr>
      <w:tr>
        <w:trPr/>
        <w:tc>
          <w:tcPr>
            <w:tcW w:w="647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475"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1,033,763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1,307,008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1,605,231</w:t>
            </w:r>
          </w:p>
        </w:tc>
        <w:tc>
          <w:tcPr>
            <w:tcW w:w="64" w:type="dxa"/>
            <w:tcBorders/>
            <w:vAlign w:val="bottom"/>
          </w:tcPr>
          <w:p>
            <w:pPr>
              <w:pStyle w:val="TableContents"/>
              <w:bidi w:val="0"/>
              <w:spacing w:before="0" w:after="283"/>
              <w:jc w:val="left"/>
              <w:rPr/>
            </w:pPr>
            <w:r>
              <w:rPr/>
              <w:t> </w:t>
            </w:r>
          </w:p>
        </w:tc>
      </w:tr>
      <w:tr>
        <w:trPr/>
        <w:tc>
          <w:tcPr>
            <w:tcW w:w="647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37,455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94,503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103,338</w:t>
            </w:r>
          </w:p>
        </w:tc>
        <w:tc>
          <w:tcPr>
            <w:tcW w:w="64" w:type="dxa"/>
            <w:tcBorders/>
            <w:shd w:fill="CCEEFF" w:val="clear"/>
            <w:vAlign w:val="bottom"/>
          </w:tcPr>
          <w:p>
            <w:pPr>
              <w:pStyle w:val="TableContents"/>
              <w:bidi w:val="0"/>
              <w:spacing w:before="0" w:after="283"/>
              <w:jc w:val="left"/>
              <w:rPr/>
            </w:pPr>
            <w:r>
              <w:rPr/>
              <w:t> </w:t>
            </w:r>
          </w:p>
        </w:tc>
      </w:tr>
      <w:tr>
        <w:trPr/>
        <w:tc>
          <w:tcPr>
            <w:tcW w:w="6475" w:type="dxa"/>
            <w:tcBorders/>
          </w:tcPr>
          <w:p>
            <w:pPr>
              <w:pStyle w:val="TableContents"/>
              <w:bidi w:val="0"/>
              <w:spacing w:before="0" w:after="0"/>
              <w:jc w:val="left"/>
              <w:rPr>
                <w:rFonts w:ascii="Times New Roman" w:hAnsi="Times New Roman"/>
                <w:sz w:val="20"/>
              </w:rPr>
            </w:pPr>
            <w:r>
              <w:rPr>
                <w:rFonts w:ascii="Times New Roman" w:hAnsi="Times New Roman"/>
                <w:sz w:val="20"/>
              </w:rPr>
              <w:t>Loans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59,183</w:t>
            </w:r>
          </w:p>
        </w:tc>
        <w:tc>
          <w:tcPr>
            <w:tcW w:w="64" w:type="dxa"/>
            <w:tcBorders/>
            <w:vAlign w:val="bottom"/>
          </w:tcPr>
          <w:p>
            <w:pPr>
              <w:pStyle w:val="TableContents"/>
              <w:bidi w:val="0"/>
              <w:spacing w:before="0" w:after="283"/>
              <w:jc w:val="left"/>
              <w:rPr/>
            </w:pPr>
            <w:r>
              <w:rPr/>
              <w:t> </w:t>
            </w:r>
          </w:p>
        </w:tc>
      </w:tr>
      <w:tr>
        <w:trPr/>
        <w:tc>
          <w:tcPr>
            <w:tcW w:w="6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17,370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31,440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37,969</w:t>
            </w:r>
          </w:p>
        </w:tc>
        <w:tc>
          <w:tcPr>
            <w:tcW w:w="64" w:type="dxa"/>
            <w:tcBorders/>
            <w:shd w:fill="CCEEFF" w:val="clear"/>
            <w:vAlign w:val="bottom"/>
          </w:tcPr>
          <w:p>
            <w:pPr>
              <w:pStyle w:val="TableContents"/>
              <w:bidi w:val="0"/>
              <w:spacing w:before="0" w:after="283"/>
              <w:jc w:val="left"/>
              <w:rPr/>
            </w:pPr>
            <w:r>
              <w:rPr/>
              <w:t> </w:t>
            </w:r>
          </w:p>
        </w:tc>
      </w:tr>
      <w:tr>
        <w:trPr/>
        <w:tc>
          <w:tcPr>
            <w:tcW w:w="6475"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134,377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225,260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281,716</w:t>
            </w:r>
          </w:p>
        </w:tc>
        <w:tc>
          <w:tcPr>
            <w:tcW w:w="64" w:type="dxa"/>
            <w:tcBorders/>
            <w:vAlign w:val="bottom"/>
          </w:tcPr>
          <w:p>
            <w:pPr>
              <w:pStyle w:val="TableContents"/>
              <w:bidi w:val="0"/>
              <w:spacing w:before="0" w:after="283"/>
              <w:jc w:val="left"/>
              <w:rPr/>
            </w:pPr>
            <w:r>
              <w:rPr/>
              <w:t> </w:t>
            </w:r>
          </w:p>
        </w:tc>
      </w:tr>
      <w:tr>
        <w:trPr/>
        <w:tc>
          <w:tcPr>
            <w:tcW w:w="647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189,202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351,203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482,206</w:t>
            </w:r>
          </w:p>
        </w:tc>
        <w:tc>
          <w:tcPr>
            <w:tcW w:w="64" w:type="dxa"/>
            <w:tcBorders/>
            <w:shd w:fill="CCEEFF" w:val="clear"/>
            <w:vAlign w:val="bottom"/>
          </w:tcPr>
          <w:p>
            <w:pPr>
              <w:pStyle w:val="TableContents"/>
              <w:bidi w:val="0"/>
              <w:spacing w:before="0" w:after="283"/>
              <w:jc w:val="left"/>
              <w:rPr/>
            </w:pPr>
            <w:r>
              <w:rPr/>
              <w:t> </w:t>
            </w:r>
          </w:p>
        </w:tc>
      </w:tr>
      <w:tr>
        <w:trPr/>
        <w:tc>
          <w:tcPr>
            <w:tcW w:w="6475"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55,620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49,683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76,177</w:t>
            </w:r>
          </w:p>
        </w:tc>
        <w:tc>
          <w:tcPr>
            <w:tcW w:w="64" w:type="dxa"/>
            <w:tcBorders/>
            <w:vAlign w:val="bottom"/>
          </w:tcPr>
          <w:p>
            <w:pPr>
              <w:pStyle w:val="TableContents"/>
              <w:bidi w:val="0"/>
              <w:spacing w:before="0" w:after="283"/>
              <w:jc w:val="left"/>
              <w:rPr/>
            </w:pPr>
            <w:r>
              <w:rPr/>
              <w:t> </w:t>
            </w:r>
          </w:p>
        </w:tc>
      </w:tr>
      <w:tr>
        <w:trPr/>
        <w:tc>
          <w:tcPr>
            <w:tcW w:w="647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244,822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400,886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558,383</w:t>
            </w:r>
          </w:p>
        </w:tc>
        <w:tc>
          <w:tcPr>
            <w:tcW w:w="64" w:type="dxa"/>
            <w:tcBorders/>
            <w:shd w:fill="CCEEFF" w:val="clear"/>
            <w:vAlign w:val="bottom"/>
          </w:tcPr>
          <w:p>
            <w:pPr>
              <w:pStyle w:val="TableContents"/>
              <w:bidi w:val="0"/>
              <w:spacing w:before="0" w:after="283"/>
              <w:jc w:val="left"/>
              <w:rPr/>
            </w:pPr>
            <w:r>
              <w:rPr/>
              <w:t> </w:t>
            </w:r>
          </w:p>
        </w:tc>
      </w:tr>
      <w:tr>
        <w:trPr/>
        <w:tc>
          <w:tcPr>
            <w:tcW w:w="6475"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788,941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906,122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1,046,848</w:t>
            </w:r>
          </w:p>
        </w:tc>
        <w:tc>
          <w:tcPr>
            <w:tcW w:w="64" w:type="dxa"/>
            <w:tcBorders/>
            <w:vAlign w:val="bottom"/>
          </w:tcPr>
          <w:p>
            <w:pPr>
              <w:pStyle w:val="TableContents"/>
              <w:bidi w:val="0"/>
              <w:spacing w:before="0" w:after="283"/>
              <w:jc w:val="left"/>
              <w:rPr/>
            </w:pPr>
            <w:r>
              <w:rPr/>
              <w:t> </w:t>
            </w:r>
          </w:p>
        </w:tc>
      </w:tr>
      <w:tr>
        <w:trPr/>
        <w:tc>
          <w:tcPr>
            <w:tcW w:w="647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&amp; shareholders’ equity</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1,033,763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1,307,008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1,605,231</w:t>
            </w:r>
          </w:p>
        </w:tc>
        <w:tc>
          <w:tcPr>
            <w:tcW w:w="64" w:type="dxa"/>
            <w:tcBorders/>
            <w:shd w:fill="CCEEFF" w:val="clear"/>
            <w:vAlign w:val="bottom"/>
          </w:tcPr>
          <w:p>
            <w:pPr>
              <w:pStyle w:val="TableContents"/>
              <w:bidi w:val="0"/>
              <w:spacing w:before="0" w:after="283"/>
              <w:jc w:val="left"/>
              <w:rPr/>
            </w:pPr>
            <w:r>
              <w:rPr/>
              <w:t> </w:t>
            </w:r>
          </w:p>
        </w:tc>
      </w:tr>
      <w:tr>
        <w:trPr/>
        <w:tc>
          <w:tcPr>
            <w:tcW w:w="647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36"/>
        <w:gridCol w:w="136"/>
        <w:gridCol w:w="60"/>
        <w:gridCol w:w="806"/>
        <w:gridCol w:w="155"/>
        <w:gridCol w:w="87"/>
        <w:gridCol w:w="62"/>
        <w:gridCol w:w="829"/>
        <w:gridCol w:w="155"/>
        <w:gridCol w:w="87"/>
        <w:gridCol w:w="60"/>
        <w:gridCol w:w="906"/>
        <w:gridCol w:w="155"/>
        <w:gridCol w:w="87"/>
        <w:gridCol w:w="60"/>
        <w:gridCol w:w="844"/>
        <w:gridCol w:w="164"/>
        <w:gridCol w:w="87"/>
        <w:gridCol w:w="60"/>
        <w:gridCol w:w="906"/>
        <w:gridCol w:w="163"/>
      </w:tblGrid>
      <w:tr>
        <w:trPr/>
        <w:tc>
          <w:tcPr>
            <w:tcW w:w="4336"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3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20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Three Months Ended</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Six Months Ended</w:t>
            </w:r>
          </w:p>
        </w:tc>
        <w:tc>
          <w:tcPr>
            <w:tcW w:w="163" w:type="dxa"/>
            <w:tcBorders/>
            <w:vAlign w:val="bottom"/>
          </w:tcPr>
          <w:p>
            <w:pPr>
              <w:pStyle w:val="TableContents"/>
              <w:bidi w:val="0"/>
              <w:spacing w:before="0" w:after="283"/>
              <w:jc w:val="left"/>
              <w:rPr/>
            </w:pPr>
            <w:r>
              <w:rPr/>
              <w:t> </w:t>
            </w:r>
          </w:p>
        </w:tc>
      </w:tr>
      <w:tr>
        <w:trPr/>
        <w:tc>
          <w:tcPr>
            <w:tcW w:w="433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2025</w:t>
            </w:r>
            <w:r>
              <w:rPr/>
              <w:br/>
            </w:r>
            <w:r>
              <w:rPr>
                <w:b/>
              </w:rPr>
              <w:t>($)</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pPr>
            <w:r>
              <w:rPr>
                <w:b/>
              </w:rPr>
              <w:t>Mar. 31,</w:t>
            </w:r>
            <w:r>
              <w:rPr/>
              <w:br/>
            </w:r>
            <w:r>
              <w:rPr>
                <w:b/>
              </w:rPr>
              <w:t>2026</w:t>
            </w:r>
            <w:r>
              <w:rPr/>
              <w:br/>
            </w:r>
            <w:r>
              <w:rPr>
                <w:b/>
              </w:rPr>
              <w:t>($)</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2026</w:t>
            </w:r>
            <w:r>
              <w:rPr/>
              <w:br/>
            </w:r>
            <w:r>
              <w:rPr>
                <w:b/>
              </w:rPr>
              <w:t>($)</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2025</w:t>
            </w:r>
            <w:r>
              <w:rPr/>
              <w:br/>
            </w:r>
            <w:r>
              <w:rPr>
                <w:b/>
              </w:rPr>
              <w:t>($)</w:t>
            </w:r>
          </w:p>
        </w:tc>
        <w:tc>
          <w:tcPr>
            <w:tcW w:w="16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2026</w:t>
            </w:r>
            <w:r>
              <w:rPr/>
              <w:br/>
            </w:r>
            <w:r>
              <w:rPr>
                <w:b/>
              </w:rPr>
              <w:t>($)</w:t>
            </w:r>
          </w:p>
        </w:tc>
        <w:tc>
          <w:tcPr>
            <w:tcW w:w="163" w:type="dxa"/>
            <w:tcBorders/>
            <w:vAlign w:val="bottom"/>
          </w:tcPr>
          <w:p>
            <w:pPr>
              <w:pStyle w:val="TableContents"/>
              <w:bidi w:val="0"/>
              <w:spacing w:before="0" w:after="283"/>
              <w:jc w:val="left"/>
              <w:rPr/>
            </w:pPr>
            <w:r>
              <w:rPr/>
              <w:t> </w:t>
            </w:r>
          </w:p>
        </w:tc>
      </w:tr>
      <w:tr>
        <w:trPr/>
        <w:tc>
          <w:tcPr>
            <w:tcW w:w="4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16,311</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66,799</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136,112</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35,774</w:t>
            </w:r>
          </w:p>
        </w:tc>
        <w:tc>
          <w:tcPr>
            <w:tcW w:w="16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202,911</w:t>
            </w:r>
          </w:p>
        </w:tc>
        <w:tc>
          <w:tcPr>
            <w:tcW w:w="163" w:type="dxa"/>
            <w:tcBorders/>
            <w:shd w:fill="CCEEFF" w:val="clear"/>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&amp; amortization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7,445</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8,954</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9,273</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14,670</w:t>
            </w:r>
          </w:p>
        </w:tc>
        <w:tc>
          <w:tcPr>
            <w:tcW w:w="16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18,227</w:t>
            </w:r>
          </w:p>
        </w:tc>
        <w:tc>
          <w:tcPr>
            <w:tcW w:w="163" w:type="dxa"/>
            <w:tcBorders/>
            <w:vAlign w:val="bottom"/>
          </w:tcPr>
          <w:p>
            <w:pPr>
              <w:pStyle w:val="TableContents"/>
              <w:bidi w:val="0"/>
              <w:spacing w:before="0" w:after="283"/>
              <w:jc w:val="left"/>
              <w:rPr/>
            </w:pPr>
            <w:r>
              <w:rPr/>
              <w:t> </w:t>
            </w:r>
          </w:p>
        </w:tc>
      </w:tr>
      <w:tr>
        <w:trPr/>
        <w:tc>
          <w:tcPr>
            <w:tcW w:w="4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175</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8,374</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3,418</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4,986</w:t>
            </w:r>
          </w:p>
        </w:tc>
        <w:tc>
          <w:tcPr>
            <w:tcW w:w="16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11,792</w:t>
            </w:r>
          </w:p>
        </w:tc>
        <w:tc>
          <w:tcPr>
            <w:tcW w:w="163" w:type="dxa"/>
            <w:tcBorders/>
            <w:shd w:fill="CCEEFF" w:val="clear"/>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Investment losses (gain) &amp; disposals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1,053</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(21,733</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(74,684</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(2,256</w:t>
            </w:r>
          </w:p>
        </w:tc>
        <w:tc>
          <w:tcPr>
            <w:tcW w:w="16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(96,417</w:t>
            </w:r>
          </w:p>
        </w:tc>
        <w:tc>
          <w:tcPr>
            <w:tcW w:w="163" w:type="dxa"/>
            <w:tcBorders/>
            <w:vAlign w:val="bottom"/>
          </w:tcPr>
          <w:p>
            <w:pPr>
              <w:pStyle w:val="TableContents"/>
              <w:bidi w:val="0"/>
              <w:spacing w:before="0" w:after="283"/>
              <w:jc w:val="left"/>
              <w:rPr/>
            </w:pPr>
            <w:r>
              <w:rPr/>
              <w:t>) </w:t>
            </w:r>
          </w:p>
        </w:tc>
      </w:tr>
      <w:tr>
        <w:trPr/>
        <w:tc>
          <w:tcPr>
            <w:tcW w:w="4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(42,258</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(93,619</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(137,899</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(20,176</w:t>
            </w:r>
          </w:p>
        </w:tc>
        <w:tc>
          <w:tcPr>
            <w:tcW w:w="16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(231,518</w:t>
            </w:r>
          </w:p>
        </w:tc>
        <w:tc>
          <w:tcPr>
            <w:tcW w:w="163" w:type="dxa"/>
            <w:tcBorders/>
            <w:shd w:fill="CCEEFF" w:val="clear"/>
            <w:vAlign w:val="bottom"/>
          </w:tcPr>
          <w:p>
            <w:pPr>
              <w:pStyle w:val="TableContents"/>
              <w:bidi w:val="0"/>
              <w:spacing w:before="0" w:after="283"/>
              <w:jc w:val="left"/>
              <w:rPr/>
            </w:pPr>
            <w:r>
              <w:rPr/>
              <w:t>) </w:t>
            </w:r>
          </w:p>
        </w:tc>
      </w:tr>
      <w:tr>
        <w:trPr/>
        <w:tc>
          <w:tcPr>
            <w:tcW w:w="4336"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operating activities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(17,274</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(31,225</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(63,780</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32,998</w:t>
            </w:r>
          </w:p>
        </w:tc>
        <w:tc>
          <w:tcPr>
            <w:tcW w:w="16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(95,005</w:t>
            </w:r>
          </w:p>
        </w:tc>
        <w:tc>
          <w:tcPr>
            <w:tcW w:w="163" w:type="dxa"/>
            <w:tcBorders/>
            <w:vAlign w:val="bottom"/>
          </w:tcPr>
          <w:p>
            <w:pPr>
              <w:pStyle w:val="TableContents"/>
              <w:bidi w:val="0"/>
              <w:spacing w:before="0" w:after="283"/>
              <w:jc w:val="left"/>
              <w:rPr/>
            </w:pPr>
            <w:r>
              <w:rPr/>
              <w:t>) </w:t>
            </w:r>
          </w:p>
        </w:tc>
      </w:tr>
      <w:tr>
        <w:trPr/>
        <w:tc>
          <w:tcPr>
            <w:tcW w:w="4336"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property &amp; equipment</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(15,551</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(18,221</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(7,733</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(27,212</w:t>
            </w:r>
          </w:p>
        </w:tc>
        <w:tc>
          <w:tcPr>
            <w:tcW w:w="16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(25,954</w:t>
            </w:r>
          </w:p>
        </w:tc>
        <w:tc>
          <w:tcPr>
            <w:tcW w:w="163" w:type="dxa"/>
            <w:tcBorders/>
            <w:shd w:fill="CCEEFF" w:val="clear"/>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disposal of properties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13</w:t>
            </w:r>
          </w:p>
        </w:tc>
        <w:tc>
          <w:tcPr>
            <w:tcW w:w="16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87</w:t>
            </w:r>
          </w:p>
        </w:tc>
        <w:tc>
          <w:tcPr>
            <w:tcW w:w="163" w:type="dxa"/>
            <w:tcBorders/>
            <w:vAlign w:val="bottom"/>
          </w:tcPr>
          <w:p>
            <w:pPr>
              <w:pStyle w:val="TableContents"/>
              <w:bidi w:val="0"/>
              <w:spacing w:before="0" w:after="283"/>
              <w:jc w:val="left"/>
              <w:rPr/>
            </w:pPr>
            <w:r>
              <w:rPr/>
              <w:t> </w:t>
            </w:r>
          </w:p>
        </w:tc>
      </w:tr>
      <w:tr>
        <w:trPr/>
        <w:tc>
          <w:tcPr>
            <w:tcW w:w="4336"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investing activities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(15,551</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(18,134</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(7,733</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(27,199</w:t>
            </w:r>
          </w:p>
        </w:tc>
        <w:tc>
          <w:tcPr>
            <w:tcW w:w="16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(25,867</w:t>
            </w:r>
          </w:p>
        </w:tc>
        <w:tc>
          <w:tcPr>
            <w:tcW w:w="163" w:type="dxa"/>
            <w:tcBorders/>
            <w:shd w:fill="CCEEFF" w:val="clear"/>
            <w:vAlign w:val="bottom"/>
          </w:tcPr>
          <w:p>
            <w:pPr>
              <w:pStyle w:val="TableContents"/>
              <w:bidi w:val="0"/>
              <w:spacing w:before="0" w:after="283"/>
              <w:jc w:val="left"/>
              <w:rPr/>
            </w:pPr>
            <w:r>
              <w:rPr/>
              <w:t>) </w:t>
            </w:r>
          </w:p>
        </w:tc>
      </w:tr>
      <w:tr>
        <w:trPr/>
        <w:tc>
          <w:tcPr>
            <w:tcW w:w="4336"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Dividend payments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(16,746</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(16,918</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(16,922</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(33,702</w:t>
            </w:r>
          </w:p>
        </w:tc>
        <w:tc>
          <w:tcPr>
            <w:tcW w:w="16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(33,840</w:t>
            </w:r>
          </w:p>
        </w:tc>
        <w:tc>
          <w:tcPr>
            <w:tcW w:w="163" w:type="dxa"/>
            <w:tcBorders/>
            <w:vAlign w:val="bottom"/>
          </w:tcPr>
          <w:p>
            <w:pPr>
              <w:pStyle w:val="TableContents"/>
              <w:bidi w:val="0"/>
              <w:spacing w:before="0" w:after="283"/>
              <w:jc w:val="left"/>
              <w:rPr/>
            </w:pPr>
            <w:r>
              <w:rPr/>
              <w:t>) </w:t>
            </w:r>
          </w:p>
        </w:tc>
      </w:tr>
      <w:tr>
        <w:trPr/>
        <w:tc>
          <w:tcPr>
            <w:tcW w:w="4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repurchases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(24,312</w:t>
            </w:r>
          </w:p>
        </w:tc>
        <w:tc>
          <w:tcPr>
            <w:tcW w:w="16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Bank loan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59,183</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59,183</w:t>
            </w:r>
          </w:p>
        </w:tc>
        <w:tc>
          <w:tcPr>
            <w:tcW w:w="163" w:type="dxa"/>
            <w:tcBorders/>
            <w:vAlign w:val="bottom"/>
          </w:tcPr>
          <w:p>
            <w:pPr>
              <w:pStyle w:val="TableContents"/>
              <w:bidi w:val="0"/>
              <w:spacing w:before="0" w:after="283"/>
              <w:jc w:val="left"/>
              <w:rPr/>
            </w:pPr>
            <w:r>
              <w:rPr/>
              <w:t> </w:t>
            </w:r>
          </w:p>
        </w:tc>
      </w:tr>
      <w:tr>
        <w:trPr/>
        <w:tc>
          <w:tcPr>
            <w:tcW w:w="4336"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financing activities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(16,767</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(16,918</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42,261</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(58,014</w:t>
            </w:r>
          </w:p>
        </w:tc>
        <w:tc>
          <w:tcPr>
            <w:tcW w:w="16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25,343</w:t>
            </w:r>
          </w:p>
        </w:tc>
        <w:tc>
          <w:tcPr>
            <w:tcW w:w="163" w:type="dxa"/>
            <w:tcBorders/>
            <w:shd w:fill="CCEEFF" w:val="clear"/>
            <w:vAlign w:val="bottom"/>
          </w:tcPr>
          <w:p>
            <w:pPr>
              <w:pStyle w:val="TableContents"/>
              <w:bidi w:val="0"/>
              <w:spacing w:before="0" w:after="283"/>
              <w:jc w:val="left"/>
              <w:rPr/>
            </w:pPr>
            <w:r>
              <w:rPr/>
              <w:t> </w:t>
            </w:r>
          </w:p>
        </w:tc>
      </w:tr>
      <w:tr>
        <w:trPr/>
        <w:tc>
          <w:tcPr>
            <w:tcW w:w="4336"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&amp; restricted cash</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(49,592</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(66,277</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(29,252</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(52,215</w:t>
            </w:r>
          </w:p>
        </w:tc>
        <w:tc>
          <w:tcPr>
            <w:tcW w:w="16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(95,529</w:t>
            </w:r>
          </w:p>
        </w:tc>
        <w:tc>
          <w:tcPr>
            <w:tcW w:w="163" w:type="dxa"/>
            <w:tcBorders/>
            <w:vAlign w:val="bottom"/>
          </w:tcPr>
          <w:p>
            <w:pPr>
              <w:pStyle w:val="TableContents"/>
              <w:bidi w:val="0"/>
              <w:spacing w:before="0" w:after="283"/>
              <w:jc w:val="left"/>
              <w:rPr/>
            </w:pPr>
            <w:r>
              <w:rPr/>
              <w:t>) </w:t>
            </w:r>
          </w:p>
        </w:tc>
      </w:tr>
      <w:tr>
        <w:trPr/>
        <w:tc>
          <w:tcPr>
            <w:tcW w:w="4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foreign exchange changes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170</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161</w:t>
            </w:r>
          </w:p>
        </w:tc>
        <w:tc>
          <w:tcPr>
            <w:tcW w:w="16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250</w:t>
            </w:r>
          </w:p>
        </w:tc>
        <w:tc>
          <w:tcPr>
            <w:tcW w:w="163" w:type="dxa"/>
            <w:tcBorders/>
            <w:shd w:fill="CCEEFF" w:val="clear"/>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&amp; restricted cash—beginning of period</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331,747</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277,081</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210,884</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334,333</w:t>
            </w:r>
          </w:p>
        </w:tc>
        <w:tc>
          <w:tcPr>
            <w:tcW w:w="16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277,081</w:t>
            </w:r>
          </w:p>
        </w:tc>
        <w:tc>
          <w:tcPr>
            <w:tcW w:w="163" w:type="dxa"/>
            <w:tcBorders/>
            <w:vAlign w:val="bottom"/>
          </w:tcPr>
          <w:p>
            <w:pPr>
              <w:pStyle w:val="TableContents"/>
              <w:bidi w:val="0"/>
              <w:spacing w:before="0" w:after="283"/>
              <w:jc w:val="left"/>
              <w:rPr/>
            </w:pPr>
            <w:r>
              <w:rPr/>
              <w:t> </w:t>
            </w:r>
          </w:p>
        </w:tc>
      </w:tr>
      <w:tr>
        <w:trPr/>
        <w:tc>
          <w:tcPr>
            <w:tcW w:w="4336"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&amp; restricted cash—end of period</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282,279</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210,884</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181,802</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282,279</w:t>
            </w:r>
          </w:p>
        </w:tc>
        <w:tc>
          <w:tcPr>
            <w:tcW w:w="16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181,802</w:t>
            </w:r>
          </w:p>
        </w:tc>
        <w:tc>
          <w:tcPr>
            <w:tcW w:w="163" w:type="dxa"/>
            <w:tcBorders/>
            <w:shd w:fill="CCEEFF" w:val="clear"/>
            <w:vAlign w:val="bottom"/>
          </w:tcPr>
          <w:p>
            <w:pPr>
              <w:pStyle w:val="TableContents"/>
              <w:bidi w:val="0"/>
              <w:spacing w:before="0" w:after="283"/>
              <w:jc w:val="left"/>
              <w:rPr/>
            </w:pPr>
            <w:r>
              <w:rPr/>
              <w:t> </w:t>
            </w:r>
          </w:p>
        </w:tc>
      </w:tr>
      <w:tr>
        <w:trPr/>
        <w:tc>
          <w:tcPr>
            <w:tcW w:w="4336"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Silicon Motion: </w:t>
      </w:r>
    </w:p>
    <w:p>
      <w:pPr>
        <w:pStyle w:val="TextBody"/>
        <w:bidi w:val="0"/>
        <w:spacing w:before="120" w:after="0"/>
        <w:jc w:val="left"/>
        <w:rPr>
          <w:rFonts w:ascii="Times New Roman" w:hAnsi="Times New Roman"/>
          <w:sz w:val="20"/>
        </w:rPr>
      </w:pPr>
      <w:r>
        <w:rPr>
          <w:rFonts w:ascii="Times New Roman" w:hAnsi="Times New Roman"/>
          <w:sz w:val="20"/>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centers and specialized industrial and automotive SSD solutions. Our customers include most of the NAND flash vendors, storage device module makers and leading OEMs. For further information on Silicon Motion, visit us at </w:t>
      </w:r>
      <w:r>
        <w:rPr>
          <w:rFonts w:ascii="Times New Roman" w:hAnsi="Times New Roman"/>
          <w:sz w:val="20"/>
          <w:u w:val="single"/>
        </w:rPr>
        <w:t>www.siliconmotion.com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contains “forward-looking statements” within the meaning of Section 27A of the Securities Act of 1933, as amended, and Section 21E of the Securities Exchange Act of 1934, as amended. In some cases, you can identify forward-looking statements by terminology such as “may,” “will,” “should,” “expect,” “intend,” “plan,” “anticipate,” “believe,” “estimate,” “predict,” “potential,” “continue,” or the negative of these terms or other comparable terminology. Although such statements are based on our own information and information from other sources we believe to be reliable, you should not place undue reliance on them. These statements involve risks and uncertainties, and actual market trends or our actual results of operations, financial condition or business prospects may differ materially from those expressed or implied in these forward-looking statements for a variety of reasons. Potential risks and uncertainties include, but are not limited to, the unpredictable volume and timing of customer orders, which are not fixed by contract but vary on a purchase order basis; the loss of one or more key customers or the significant reduction, postponement, rescheduling or cancellation of orders from one or more customers; general economic conditions or conditions in the semiconductor or consumer electronics markets; the impact of inflation on our business and customers’ businesses and any effect this has on economic activity in the markets in which we operate; the functionalities and performance of our information technology (“IT”) systems, which are subject to cybersecurity threats and which support our critical operational activities, and any breaches of our IT systems or those of our customers, suppliers, partners and providers of third-party licensed technology; the effects on our business and our customers’ business taking into account the ongoing U.S.-China tariffs and trade disputes; other factors beyond our control such as natural disasters, terrorism, civil unrest, war, including conflicts in the Middle East, threats to the Strait of Hormuz and global energy supply routes, and the ongoing Russia-Ukraine War, and pandemics, epidemics and other health emergencies; the continuing tensions between Taiwan and China, including enhanced military activities; decreases in the overall average selling prices of our products; changes in the relative sales mix of our products; supply chain disruptions that have affected us and our industry as well as other industries on a global basis; the payment, or non-payment, of cash dividends in the future at the discretion of our Board of Directors and any announced planned increases in such dividends; changes in our cost of finished goods; the availability, pricing, and timeliness of delivery of other components and raw materials used in the products we sell given the current raw material supply shortages being experienced in our industry; our customers’ sales outlook, purchasing patterns, and inventory adjustments based on consumer demands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general economic conditions; any potential impairment charges that may be incurred related to businesses previously acquired or divested in the future; the risk that the anticipated benefits from our PCIe 5 controller products, including higher average selling prices, may not be maintained or may be less than expected; the risk that our anticipated market share gains across our product lines and penetration of enterprise end markets may not materialize as expected or on the anticipated timeline; our ability to successfully develop, introduce, and sell new or enhanced products in a timely manner; and the timing of new product announcements or introductions by us or by our competitors. For additional discussion of these risks and uncertainties and other factors, please see the documents we file from time to time with the U.S. Securities and Exchange Commission, including our Annual Report on Form 20-F filed with the U.S. Securities and Exchange Commission on April 30, 2026. Other than as required under the securities laws, we do not intend, and do not undertake any obligation to, update or revise any forward-looking statements, which apply only as of the date of this news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Silicon Motion Investor 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4"/>
        <w:gridCol w:w="120"/>
        <w:gridCol w:w="4831"/>
      </w:tblGrid>
      <w:tr>
        <w:trPr/>
        <w:tc>
          <w:tcPr>
            <w:tcW w:w="52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5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Tom Sepenzis</w:t>
            </w:r>
          </w:p>
        </w:tc>
        <w:tc>
          <w:tcPr>
            <w:tcW w:w="120" w:type="dxa"/>
            <w:tcBorders/>
            <w:vAlign w:val="bottom"/>
          </w:tcPr>
          <w:p>
            <w:pPr>
              <w:pStyle w:val="TableContents"/>
              <w:bidi w:val="0"/>
              <w:spacing w:before="0" w:after="283"/>
              <w:jc w:val="left"/>
              <w:rPr/>
            </w:pPr>
            <w:r>
              <w:rPr/>
              <w:t>  </w:t>
            </w:r>
          </w:p>
        </w:tc>
        <w:tc>
          <w:tcPr>
            <w:tcW w:w="48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Selina Hsieh</w:t>
            </w:r>
          </w:p>
        </w:tc>
      </w:tr>
      <w:tr>
        <w:trPr/>
        <w:tc>
          <w:tcPr>
            <w:tcW w:w="5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of Investor Relations &amp; Strategy</w:t>
            </w:r>
          </w:p>
        </w:tc>
        <w:tc>
          <w:tcPr>
            <w:tcW w:w="120" w:type="dxa"/>
            <w:tcBorders/>
            <w:vAlign w:val="bottom"/>
          </w:tcPr>
          <w:p>
            <w:pPr>
              <w:pStyle w:val="TableContents"/>
              <w:bidi w:val="0"/>
              <w:spacing w:before="0" w:after="283"/>
              <w:jc w:val="left"/>
              <w:rPr/>
            </w:pPr>
            <w:r>
              <w:rPr/>
              <w:t>  </w:t>
            </w:r>
          </w:p>
        </w:tc>
        <w:tc>
          <w:tcPr>
            <w:tcW w:w="48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Investor Relations</w:t>
            </w:r>
          </w:p>
        </w:tc>
      </w:tr>
      <w:tr>
        <w:trPr/>
        <w:tc>
          <w:tcPr>
            <w:tcW w:w="5254"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tsepenzis@siliconmotion.com</w:t>
            </w:r>
          </w:p>
        </w:tc>
        <w:tc>
          <w:tcPr>
            <w:tcW w:w="120" w:type="dxa"/>
            <w:tcBorders/>
            <w:vAlign w:val="bottom"/>
          </w:tcPr>
          <w:p>
            <w:pPr>
              <w:pStyle w:val="TableContents"/>
              <w:bidi w:val="0"/>
              <w:spacing w:before="0" w:after="283"/>
              <w:jc w:val="left"/>
              <w:rPr/>
            </w:pPr>
            <w:r>
              <w:rPr/>
              <w:t>  </w:t>
            </w:r>
          </w:p>
        </w:tc>
        <w:tc>
          <w:tcPr>
            <w:tcW w:w="4831"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ir@siliconmotion.com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3718</Words>
  <Characters>20323</Characters>
  <CharactersWithSpaces>25431</CharactersWithSpaces>
  <Paragraphs>2761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