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0905d6k.htm"/>
      <w:bookmarkStart w:id="1" w:name="ksd140905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000-51380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Silicon Motion Technology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Flat C, 19/F, Wing Cheong Commercial Building </w:t>
      </w:r>
    </w:p>
    <w:p>
      <w:pPr>
        <w:pStyle w:val="TextBody"/>
        <w:bidi w:val="0"/>
        <w:spacing w:before="0" w:after="0"/>
        <w:jc w:val="center"/>
        <w:rPr>
          <w:rFonts w:ascii="Times New Roman" w:hAnsi="Times New Roman"/>
          <w:b/>
          <w:sz w:val="20"/>
        </w:rPr>
      </w:pPr>
      <w:r>
        <w:rPr>
          <w:rFonts w:ascii="Times New Roman" w:hAnsi="Times New Roman"/>
          <w:b/>
          <w:sz w:val="20"/>
        </w:rPr>
        <w:t xml:space="preserve">Nos 19-25 Jervois Street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0"/>
        <w:gridCol w:w="688"/>
        <w:gridCol w:w="8307"/>
      </w:tblGrid>
      <w:tr>
        <w:trPr/>
        <w:tc>
          <w:tcPr>
            <w:tcW w:w="1210" w:type="dxa"/>
            <w:tcBorders/>
            <w:vAlign w:val="center"/>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8307" w:type="dxa"/>
            <w:tcBorders/>
            <w:vAlign w:val="center"/>
          </w:tcPr>
          <w:p>
            <w:pPr>
              <w:pStyle w:val="TableContents"/>
              <w:bidi w:val="0"/>
              <w:spacing w:before="0" w:after="283"/>
              <w:jc w:val="left"/>
              <w:rPr>
                <w:sz w:val="4"/>
                <w:szCs w:val="4"/>
              </w:rPr>
            </w:pPr>
            <w:r>
              <w:rPr>
                <w:sz w:val="4"/>
                <w:szCs w:val="4"/>
              </w:rPr>
            </w:r>
          </w:p>
        </w:tc>
      </w:tr>
      <w:tr>
        <w:trPr/>
        <w:tc>
          <w:tcPr>
            <w:tcW w:w="1210" w:type="dxa"/>
            <w:tcBorders/>
            <w:vAlign w:val="bottom"/>
          </w:tcPr>
          <w:p>
            <w:pPr>
              <w:pStyle w:val="TableContents"/>
              <w:bidi w:val="0"/>
              <w:spacing w:before="0" w:after="283"/>
              <w:jc w:val="center"/>
              <w:rPr>
                <w:b/>
              </w:rPr>
            </w:pPr>
            <w:r>
              <w:rPr>
                <w:b/>
              </w:rPr>
              <w:t>Exhibit No.</w:t>
            </w:r>
          </w:p>
        </w:tc>
        <w:tc>
          <w:tcPr>
            <w:tcW w:w="688" w:type="dxa"/>
            <w:tcBorders/>
            <w:vAlign w:val="bottom"/>
          </w:tcPr>
          <w:p>
            <w:pPr>
              <w:pStyle w:val="TableContents"/>
              <w:bidi w:val="0"/>
              <w:spacing w:before="0" w:after="283"/>
              <w:jc w:val="left"/>
              <w:rPr/>
            </w:pPr>
            <w:r>
              <w:rPr/>
              <w:t>  </w:t>
            </w:r>
          </w:p>
        </w:tc>
        <w:tc>
          <w:tcPr>
            <w:tcW w:w="830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1210" w:type="dxa"/>
            <w:tcBorders/>
            <w:vAlign w:val="bottom"/>
          </w:tcPr>
          <w:p>
            <w:pPr>
              <w:pStyle w:val="TableContents"/>
              <w:bidi w:val="0"/>
              <w:spacing w:before="0" w:after="283"/>
              <w:jc w:val="left"/>
              <w:rPr/>
            </w:pPr>
            <w:r>
              <w:rPr/>
              <w:t>99.1</w:t>
            </w:r>
          </w:p>
        </w:tc>
        <w:tc>
          <w:tcPr>
            <w:tcW w:w="688" w:type="dxa"/>
            <w:tcBorders/>
            <w:vAlign w:val="bottom"/>
          </w:tcPr>
          <w:p>
            <w:pPr>
              <w:pStyle w:val="TableContents"/>
              <w:bidi w:val="0"/>
              <w:spacing w:before="0" w:after="283"/>
              <w:jc w:val="left"/>
              <w:rPr/>
            </w:pPr>
            <w:r>
              <w:rPr/>
              <w:t>  </w:t>
            </w:r>
          </w:p>
        </w:tc>
        <w:tc>
          <w:tcPr>
            <w:tcW w:w="8307" w:type="dxa"/>
            <w:tcBorders/>
          </w:tcPr>
          <w:p>
            <w:pPr>
              <w:pStyle w:val="TableContents"/>
              <w:bidi w:val="0"/>
              <w:spacing w:before="0" w:after="0"/>
              <w:jc w:val="left"/>
              <w:rPr/>
            </w:pPr>
            <w:hyperlink w:anchor="d140905dex991.htm">
              <w:r>
                <w:rPr>
                  <w:rStyle w:val="InternetLink"/>
                  <w:rFonts w:ascii="Times New Roman" w:hAnsi="Times New Roman"/>
                  <w:sz w:val="20"/>
                </w:rPr>
                <w:t>Press Release issued by the Company on October 8, 2026</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19"/>
        <w:gridCol w:w="111"/>
        <w:gridCol w:w="385"/>
        <w:gridCol w:w="111"/>
        <w:gridCol w:w="662"/>
        <w:gridCol w:w="111"/>
        <w:gridCol w:w="4506"/>
      </w:tblGrid>
      <w:tr>
        <w:trPr/>
        <w:tc>
          <w:tcPr>
            <w:tcW w:w="431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506" w:type="dxa"/>
            <w:tcBorders/>
            <w:vAlign w:val="center"/>
          </w:tcPr>
          <w:p>
            <w:pPr>
              <w:pStyle w:val="TableContents"/>
              <w:bidi w:val="0"/>
              <w:spacing w:before="0" w:after="283"/>
              <w:jc w:val="left"/>
              <w:rPr>
                <w:sz w:val="4"/>
                <w:szCs w:val="4"/>
              </w:rPr>
            </w:pPr>
            <w:r>
              <w:rPr>
                <w:sz w:val="4"/>
                <w:szCs w:val="4"/>
              </w:rPr>
            </w:r>
          </w:p>
        </w:tc>
      </w:tr>
      <w:tr>
        <w:trPr/>
        <w:tc>
          <w:tcPr>
            <w:tcW w:w="4319"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79" w:type="dxa"/>
            <w:gridSpan w:val="3"/>
            <w:tcBorders/>
            <w:vAlign w:val="bottom"/>
          </w:tcPr>
          <w:p>
            <w:pPr>
              <w:pStyle w:val="TableContents"/>
              <w:bidi w:val="0"/>
              <w:spacing w:before="0" w:after="283"/>
              <w:jc w:val="left"/>
              <w:rPr>
                <w:b/>
              </w:rPr>
            </w:pPr>
            <w:r>
              <w:rPr>
                <w:b/>
              </w:rPr>
              <w:t>SILICON MOTION TECHNOLOGY CORPORATION</w:t>
            </w:r>
          </w:p>
        </w:tc>
      </w:tr>
      <w:tr>
        <w:trPr>
          <w:trHeight w:val="240" w:hRule="atLeast"/>
        </w:trPr>
        <w:tc>
          <w:tcPr>
            <w:tcW w:w="4319"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4617" w:type="dxa"/>
            <w:gridSpan w:val="2"/>
            <w:tcBorders/>
            <w:vAlign w:val="center"/>
          </w:tcPr>
          <w:p>
            <w:pPr>
              <w:pStyle w:val="TableContents"/>
              <w:bidi w:val="0"/>
              <w:spacing w:before="0" w:after="283"/>
              <w:jc w:val="left"/>
              <w:rPr>
                <w:sz w:val="4"/>
                <w:szCs w:val="4"/>
              </w:rPr>
            </w:pPr>
            <w:r>
              <w:rPr>
                <w:sz w:val="4"/>
                <w:szCs w:val="4"/>
              </w:rPr>
            </w:r>
          </w:p>
        </w:tc>
      </w:tr>
      <w:tr>
        <w:trPr/>
        <w:tc>
          <w:tcPr>
            <w:tcW w:w="4319" w:type="dxa"/>
            <w:tcBorders/>
            <w:vAlign w:val="bottom"/>
          </w:tcPr>
          <w:p>
            <w:pPr>
              <w:pStyle w:val="TableContents"/>
              <w:bidi w:val="0"/>
              <w:spacing w:before="0" w:after="283"/>
              <w:jc w:val="left"/>
              <w:rPr/>
            </w:pPr>
            <w:r>
              <w:rPr/>
              <w:t>Date: October 8, 2026</w:t>
            </w:r>
          </w:p>
        </w:tc>
        <w:tc>
          <w:tcPr>
            <w:tcW w:w="111"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450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Tsai</w:t>
            </w:r>
          </w:p>
        </w:tc>
      </w:tr>
      <w:tr>
        <w:trPr/>
        <w:tc>
          <w:tcPr>
            <w:tcW w:w="4319"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506" w:type="dxa"/>
            <w:tcBorders/>
            <w:vAlign w:val="bottom"/>
          </w:tcPr>
          <w:p>
            <w:pPr>
              <w:pStyle w:val="TableContents"/>
              <w:bidi w:val="0"/>
              <w:spacing w:before="0" w:after="283"/>
              <w:jc w:val="left"/>
              <w:rPr/>
            </w:pPr>
            <w:r>
              <w:rPr/>
              <w:t>Jason Tsai</w:t>
            </w:r>
          </w:p>
        </w:tc>
      </w:tr>
      <w:tr>
        <w:trPr/>
        <w:tc>
          <w:tcPr>
            <w:tcW w:w="4319"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506" w:type="dxa"/>
            <w:tcBorders/>
            <w:vAlign w:val="bottom"/>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140905dex991.htm"/>
      <w:bookmarkStart w:id="3" w:name="ksd140905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807210" cy="5041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7210" cy="5041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Silicon Motion Announces Third Quarter 2026 </w:t>
      </w:r>
    </w:p>
    <w:p>
      <w:pPr>
        <w:pStyle w:val="TextBody"/>
        <w:bidi w:val="0"/>
        <w:spacing w:before="0" w:after="0"/>
        <w:jc w:val="center"/>
        <w:rPr>
          <w:rFonts w:ascii="Times New Roman" w:hAnsi="Times New Roman"/>
          <w:b/>
          <w:sz w:val="20"/>
        </w:rPr>
      </w:pPr>
      <w:r>
        <w:rPr>
          <w:rFonts w:ascii="Times New Roman" w:hAnsi="Times New Roman"/>
          <w:b/>
          <w:sz w:val="20"/>
        </w:rPr>
        <w:t xml:space="preserve">Earnings Conference Call </w:t>
      </w:r>
    </w:p>
    <w:p>
      <w:pPr>
        <w:pStyle w:val="TextBody"/>
        <w:bidi w:val="0"/>
        <w:spacing w:before="240" w:after="0"/>
        <w:jc w:val="left"/>
        <w:rPr>
          <w:rFonts w:ascii="Times New Roman" w:hAnsi="Times New Roman"/>
          <w:sz w:val="20"/>
        </w:rPr>
      </w:pPr>
      <w:r>
        <w:rPr>
          <w:rFonts w:ascii="Times New Roman" w:hAnsi="Times New Roman"/>
          <w:sz w:val="20"/>
        </w:rPr>
        <w:t xml:space="preserve">TAIPEI, Taiwan and MILPITAS, Calif., October 8, 2026 – Silicon Motion Technology Corporation (NasdaqGS: SIMO) (“Silicon Motion” or the “Company”), a global leader in NAND flash controllers for solid state storage devices, plans to release its third quarter 2026 financial results after the market closes on October 28, 2026 and will host a conference call on October 29 at 8:00 a.m. Eastern Time. Participants must pre-register using the link below to participate in the live call.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DETAILS: </w:t>
      </w:r>
    </w:p>
    <w:p>
      <w:pPr>
        <w:pStyle w:val="TextBody"/>
        <w:bidi w:val="0"/>
        <w:spacing w:before="120" w:after="0"/>
        <w:jc w:val="left"/>
        <w:rPr>
          <w:rFonts w:ascii="Times New Roman" w:hAnsi="Times New Roman"/>
          <w:sz w:val="20"/>
        </w:rPr>
      </w:pPr>
      <w:r>
        <w:rPr>
          <w:rFonts w:ascii="Times New Roman" w:hAnsi="Times New Roman"/>
          <w:sz w:val="20"/>
        </w:rPr>
        <w:t xml:space="preserve">Participants must register in advance to join the conference call using the link provided below. Conference access information (including dial-in information and a unique access PIN) will be provided in the email received upon registration. </w:t>
      </w:r>
    </w:p>
    <w:p>
      <w:pPr>
        <w:pStyle w:val="TextBody"/>
        <w:bidi w:val="0"/>
        <w:spacing w:before="240" w:after="0"/>
        <w:jc w:val="left"/>
        <w:rPr>
          <w:rFonts w:ascii="Times New Roman" w:hAnsi="Times New Roman"/>
          <w:sz w:val="20"/>
        </w:rPr>
      </w:pPr>
      <w:r>
        <w:rPr>
          <w:rFonts w:ascii="Times New Roman" w:hAnsi="Times New Roman"/>
          <w:sz w:val="20"/>
        </w:rPr>
        <w:t xml:space="preserve">Participant Call Registration: </w:t>
      </w:r>
    </w:p>
    <w:p>
      <w:pPr>
        <w:pStyle w:val="TextBody"/>
        <w:bidi w:val="0"/>
        <w:spacing w:before="0" w:after="0"/>
        <w:jc w:val="left"/>
        <w:rPr>
          <w:rFonts w:ascii="Times New Roman" w:hAnsi="Times New Roman"/>
          <w:sz w:val="20"/>
        </w:rPr>
      </w:pPr>
      <w:r>
        <w:rPr>
          <w:rFonts w:ascii="Times New Roman" w:hAnsi="Times New Roman"/>
          <w:sz w:val="20"/>
          <w:u w:val="single"/>
        </w:rPr>
        <w:t>https://register-conf.media-server.com/register/BI5a2f2137ff5446e59f001272500c5465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call will be webcast on the Company’s website at </w:t>
      </w:r>
      <w:r>
        <w:rPr>
          <w:rFonts w:ascii="Times New Roman" w:hAnsi="Times New Roman"/>
          <w:sz w:val="20"/>
          <w:u w:val="single"/>
        </w:rPr>
        <w:t>www.siliconmotion.com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SILICON MOTION: </w:t>
      </w:r>
    </w:p>
    <w:p>
      <w:pPr>
        <w:pStyle w:val="TextBody"/>
        <w:bidi w:val="0"/>
        <w:spacing w:before="120" w:after="0"/>
        <w:jc w:val="left"/>
        <w:rPr>
          <w:rFonts w:ascii="Times New Roman" w:hAnsi="Times New Roman"/>
          <w:sz w:val="20"/>
        </w:rPr>
      </w:pPr>
      <w:r>
        <w:rPr>
          <w:rFonts w:ascii="Times New Roman" w:hAnsi="Times New Roman"/>
          <w:sz w:val="20"/>
        </w:rPr>
        <w:t xml:space="preserve">We are the global leader in supplying NAND flash controllers for solid state storage devices. We supply more SSD controllers than any other company in the world for servers, PCs and other client devices and are the leading merchant supplier of eMMC and UFS embedded storage controllers used in smartphones, IoT devices and other applications. We also supply customized high-performance hyperscale data center and specialized industrial and automotive SSD solutions. Our customers include most of the NAND flash vendors, storage device module makers and leading OEMs. For further information on Silicon Motion, visit us at </w:t>
      </w:r>
      <w:r>
        <w:rPr>
          <w:rFonts w:ascii="Times New Roman" w:hAnsi="Times New Roman"/>
          <w:sz w:val="20"/>
          <w:u w:val="single"/>
        </w:rPr>
        <w:t>www.siliconmotion.com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news release contains “forward-looking statements” within the meaning of Section 27A of the Securities Act of 1933, as amended, and Section 21E of the Securities Exchange Act of 1934, as amended. In some cases, you can identify forward-looking statements by terminology such as “may,” “will,” “should,” “expect,” “intend,” “plan,” “anticipate,” “believe,” “estimate,” “predict,” “potential,” “continue,” or the negative of these terms or other comparable terminology. Although such statements are based on our own information and information from other sources we believe to be reliable, you should not place undue reliance on them. These statements involve risks and uncertainties, and actual market trends or our actual results of operations, financial condition or business prospects may differ materially from those expressed or implied in these forward-looking statements for a variety of reasons. Potential risks and uncertainties include, but are not limited to, the unpredictable volume and timing of customer orders, which are not fixed by contract but vary on a purchase order basis; the loss of one or more key customers or the significant reduction, postponement, rescheduling or cancellation of orders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81175"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81175" cy="4953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from one or more customers; general economic conditions or conditions in the semiconductor or consumer electronics markets; the impact of inflation on our business and customers’ businesses and any effect this has on economic activity in the markets in which we operate; the functionalities and performance of our information technology (“IT”) systems, which are subject to cybersecurity threats and which support our critical operational activities, and any breaches of our IT systems or those of our customers, suppliers, partners and providers of third-party licensed technology; the effects on our business and our customers’ business taking into account the ongoing U.S.-China tariffs and trade disputes; other factors beyond our control such as natural disasters, terrorism, civil unrest, war, including conflicts in the Middle East, threats to the Strait of Hormuz and global energy supply routes, and the ongoing Russia-Ukraine War, and pandemics, epidemics and other health emergencies; the continuing tensions between Taiwan and China, including enhanced military activities; decreases in the overall average selling prices of our products; changes in the relative sales mix of our products; supply chain disruptions that have affected us and our industry as well as other industries on a global basis; the payment, or non-payment, of cash dividends in the future at the discretion of our Board of Directors and any announced planned increases in such dividends; changes in our cost of finished goods; the availability, pricing, and timeliness of delivery of other components and raw materials used in the products we sell given the current raw material supply shortages being experienced in our industry; our customers’ sales outlook, purchasing patterns, and inventory adjustments based on consumer demands and general economic conditions; any potential impairment charges that may be incurred related to businesses previously acquired or divested in the future; the risk that the anticipated benefits from our PCIe 5 controller products, including higher average selling prices, may not be maintained or may be less than expected; the risk that our anticipated market share gains across our product lines and penetration of enterprise end markets may not materialize as expected or on the anticipated timeline; our ability to successfully develop, introduce, and sell new or enhanced products in a timely manner; and the timing of new product announcements or introductions by us or by our competitors. For additional discussion of these risks and uncertainties and other factors, please see the documents we file from time to time with the U.S. Securities and Exchange Commission, including our Annual Report on Form 20-F filed with the U.S. Securities and Exchange Commission on April 30, 2026. Other than as required under the securities laws, we do not intend, and do not undertake any obligation to, update or revise any forward-looking statements, which apply only as of the date of this news release.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71"/>
        <w:gridCol w:w="120"/>
        <w:gridCol w:w="4814"/>
      </w:tblGrid>
      <w:tr>
        <w:trPr/>
        <w:tc>
          <w:tcPr>
            <w:tcW w:w="52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14" w:type="dxa"/>
            <w:tcBorders/>
            <w:vAlign w:val="center"/>
          </w:tcPr>
          <w:p>
            <w:pPr>
              <w:pStyle w:val="TableContents"/>
              <w:bidi w:val="0"/>
              <w:spacing w:before="0" w:after="283"/>
              <w:jc w:val="left"/>
              <w:rPr>
                <w:sz w:val="4"/>
                <w:szCs w:val="4"/>
              </w:rPr>
            </w:pPr>
            <w:r>
              <w:rPr>
                <w:sz w:val="4"/>
                <w:szCs w:val="4"/>
              </w:rPr>
            </w:r>
          </w:p>
        </w:tc>
      </w:tr>
      <w:tr>
        <w:trPr/>
        <w:tc>
          <w:tcPr>
            <w:tcW w:w="5271" w:type="dxa"/>
            <w:tcBorders/>
          </w:tcPr>
          <w:p>
            <w:pPr>
              <w:pStyle w:val="TableContents"/>
              <w:bidi w:val="0"/>
              <w:spacing w:before="0" w:after="283"/>
              <w:jc w:val="left"/>
              <w:rPr>
                <w:b/>
              </w:rPr>
            </w:pPr>
            <w:r>
              <w:rPr>
                <w:b/>
              </w:rPr>
              <w:t>Investor Contacts:</w:t>
            </w:r>
          </w:p>
        </w:tc>
        <w:tc>
          <w:tcPr>
            <w:tcW w:w="120" w:type="dxa"/>
            <w:tcBorders/>
            <w:vAlign w:val="bottom"/>
          </w:tcPr>
          <w:p>
            <w:pPr>
              <w:pStyle w:val="TableContents"/>
              <w:bidi w:val="0"/>
              <w:spacing w:before="0" w:after="283"/>
              <w:jc w:val="left"/>
              <w:rPr/>
            </w:pPr>
            <w:r>
              <w:rPr/>
              <w:t>  </w:t>
            </w:r>
          </w:p>
        </w:tc>
        <w:tc>
          <w:tcPr>
            <w:tcW w:w="4814" w:type="dxa"/>
            <w:tcBorders/>
          </w:tcPr>
          <w:p>
            <w:pPr>
              <w:pStyle w:val="TableContents"/>
              <w:bidi w:val="0"/>
              <w:spacing w:before="0" w:after="283"/>
              <w:jc w:val="left"/>
              <w:rPr>
                <w:sz w:val="4"/>
                <w:szCs w:val="4"/>
              </w:rPr>
            </w:pPr>
            <w:r>
              <w:rPr>
                <w:sz w:val="4"/>
                <w:szCs w:val="4"/>
              </w:rPr>
            </w:r>
          </w:p>
        </w:tc>
      </w:tr>
      <w:tr>
        <w:trPr>
          <w:trHeight w:val="120" w:hRule="atLeast"/>
        </w:trPr>
        <w:tc>
          <w:tcPr>
            <w:tcW w:w="5271" w:type="dxa"/>
            <w:tcBorders/>
            <w:vAlign w:val="center"/>
          </w:tcPr>
          <w:p>
            <w:pPr>
              <w:pStyle w:val="TableContents"/>
              <w:bidi w:val="0"/>
              <w:spacing w:before="0" w:after="283"/>
              <w:jc w:val="left"/>
              <w:rPr>
                <w:sz w:val="4"/>
                <w:szCs w:val="4"/>
              </w:rPr>
            </w:pPr>
            <w:r>
              <w:rPr>
                <w:sz w:val="4"/>
                <w:szCs w:val="4"/>
              </w:rPr>
            </w:r>
          </w:p>
        </w:tc>
        <w:tc>
          <w:tcPr>
            <w:tcW w:w="4934" w:type="dxa"/>
            <w:gridSpan w:val="2"/>
            <w:tcBorders/>
            <w:vAlign w:val="center"/>
          </w:tcPr>
          <w:p>
            <w:pPr>
              <w:pStyle w:val="TableContents"/>
              <w:bidi w:val="0"/>
              <w:spacing w:before="0" w:after="283"/>
              <w:jc w:val="left"/>
              <w:rPr>
                <w:sz w:val="4"/>
                <w:szCs w:val="4"/>
              </w:rPr>
            </w:pPr>
            <w:r>
              <w:rPr>
                <w:sz w:val="4"/>
                <w:szCs w:val="4"/>
              </w:rPr>
            </w:r>
          </w:p>
        </w:tc>
      </w:tr>
      <w:tr>
        <w:trPr/>
        <w:tc>
          <w:tcPr>
            <w:tcW w:w="5271" w:type="dxa"/>
            <w:tcBorders/>
          </w:tcPr>
          <w:p>
            <w:pPr>
              <w:pStyle w:val="TableContents"/>
              <w:bidi w:val="0"/>
              <w:spacing w:before="0" w:after="283"/>
              <w:jc w:val="left"/>
              <w:rPr/>
            </w:pPr>
            <w:r>
              <w:rPr/>
              <w:t>Tom Sepenzis</w:t>
            </w:r>
          </w:p>
        </w:tc>
        <w:tc>
          <w:tcPr>
            <w:tcW w:w="120" w:type="dxa"/>
            <w:tcBorders/>
            <w:vAlign w:val="bottom"/>
          </w:tcPr>
          <w:p>
            <w:pPr>
              <w:pStyle w:val="TableContents"/>
              <w:bidi w:val="0"/>
              <w:spacing w:before="0" w:after="283"/>
              <w:jc w:val="left"/>
              <w:rPr/>
            </w:pPr>
            <w:r>
              <w:rPr/>
              <w:t>  </w:t>
            </w:r>
          </w:p>
        </w:tc>
        <w:tc>
          <w:tcPr>
            <w:tcW w:w="4814" w:type="dxa"/>
            <w:tcBorders/>
          </w:tcPr>
          <w:p>
            <w:pPr>
              <w:pStyle w:val="TableContents"/>
              <w:bidi w:val="0"/>
              <w:spacing w:before="0" w:after="283"/>
              <w:jc w:val="left"/>
              <w:rPr/>
            </w:pPr>
            <w:r>
              <w:rPr/>
              <w:t>Selina Hsieh</w:t>
            </w:r>
          </w:p>
        </w:tc>
      </w:tr>
      <w:tr>
        <w:trPr/>
        <w:tc>
          <w:tcPr>
            <w:tcW w:w="5271" w:type="dxa"/>
            <w:tcBorders/>
          </w:tcPr>
          <w:p>
            <w:pPr>
              <w:pStyle w:val="TableContents"/>
              <w:bidi w:val="0"/>
              <w:spacing w:before="0" w:after="283"/>
              <w:jc w:val="left"/>
              <w:rPr/>
            </w:pPr>
            <w:r>
              <w:rPr/>
              <w:t>Vice President of Investor Relations &amp; Strategy</w:t>
            </w:r>
          </w:p>
        </w:tc>
        <w:tc>
          <w:tcPr>
            <w:tcW w:w="120" w:type="dxa"/>
            <w:tcBorders/>
            <w:vAlign w:val="bottom"/>
          </w:tcPr>
          <w:p>
            <w:pPr>
              <w:pStyle w:val="TableContents"/>
              <w:bidi w:val="0"/>
              <w:spacing w:before="0" w:after="283"/>
              <w:jc w:val="left"/>
              <w:rPr/>
            </w:pPr>
            <w:r>
              <w:rPr/>
              <w:t>  </w:t>
            </w:r>
          </w:p>
        </w:tc>
        <w:tc>
          <w:tcPr>
            <w:tcW w:w="4814" w:type="dxa"/>
            <w:tcBorders/>
          </w:tcPr>
          <w:p>
            <w:pPr>
              <w:pStyle w:val="TableContents"/>
              <w:bidi w:val="0"/>
              <w:spacing w:before="0" w:after="283"/>
              <w:jc w:val="left"/>
              <w:rPr/>
            </w:pPr>
            <w:r>
              <w:rPr/>
              <w:t>Investor Relations</w:t>
            </w:r>
          </w:p>
        </w:tc>
      </w:tr>
      <w:tr>
        <w:trPr/>
        <w:tc>
          <w:tcPr>
            <w:tcW w:w="5271" w:type="dxa"/>
            <w:tcBorders/>
          </w:tcPr>
          <w:p>
            <w:pPr>
              <w:pStyle w:val="TableContents"/>
              <w:bidi w:val="0"/>
              <w:spacing w:before="0" w:after="283"/>
              <w:jc w:val="left"/>
              <w:rPr>
                <w:u w:val="single"/>
              </w:rPr>
            </w:pPr>
            <w:r>
              <w:rPr>
                <w:u w:val="single"/>
              </w:rPr>
              <w:t>tsepenzis@siliconmotion.com</w:t>
            </w:r>
          </w:p>
        </w:tc>
        <w:tc>
          <w:tcPr>
            <w:tcW w:w="120" w:type="dxa"/>
            <w:tcBorders/>
            <w:vAlign w:val="bottom"/>
          </w:tcPr>
          <w:p>
            <w:pPr>
              <w:pStyle w:val="TableContents"/>
              <w:bidi w:val="0"/>
              <w:spacing w:before="0" w:after="283"/>
              <w:jc w:val="left"/>
              <w:rPr/>
            </w:pPr>
            <w:r>
              <w:rPr/>
              <w:t>  </w:t>
            </w:r>
          </w:p>
        </w:tc>
        <w:tc>
          <w:tcPr>
            <w:tcW w:w="4814" w:type="dxa"/>
            <w:tcBorders/>
          </w:tcPr>
          <w:p>
            <w:pPr>
              <w:pStyle w:val="TableContents"/>
              <w:bidi w:val="0"/>
              <w:spacing w:before="0" w:after="283"/>
              <w:jc w:val="left"/>
              <w:rPr>
                <w:u w:val="single"/>
              </w:rPr>
            </w:pPr>
            <w:r>
              <w:rPr>
                <w:u w:val="single"/>
              </w:rPr>
              <w:t>ir@siliconmotion.com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1063</Words>
  <Characters>6076</Characters>
  <CharactersWithSpaces>7170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