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2292d6k.htm"/>
      <w:bookmarkStart w:id="1" w:name="ksd62292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000-51380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Silicon Motion Technology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Flat C, 19/F, Wing Cheong Commercial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Nos 19-25 Jervois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09"/>
        <w:gridCol w:w="689"/>
        <w:gridCol w:w="8307"/>
      </w:tblGrid>
      <w:tr>
        <w:trPr/>
        <w:tc>
          <w:tcPr>
            <w:tcW w:w="1209" w:type="dxa"/>
            <w:tcBorders/>
            <w:vAlign w:val="center"/>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8307" w:type="dxa"/>
            <w:tcBorders/>
            <w:vAlign w:val="center"/>
          </w:tcPr>
          <w:p>
            <w:pPr>
              <w:pStyle w:val="TableContents"/>
              <w:bidi w:val="0"/>
              <w:spacing w:before="0" w:after="283"/>
              <w:jc w:val="left"/>
              <w:rPr>
                <w:sz w:val="4"/>
                <w:szCs w:val="4"/>
              </w:rPr>
            </w:pPr>
            <w:r>
              <w:rPr>
                <w:sz w:val="4"/>
                <w:szCs w:val="4"/>
              </w:rPr>
            </w:r>
          </w:p>
        </w:tc>
      </w:tr>
      <w:tr>
        <w:trPr/>
        <w:tc>
          <w:tcPr>
            <w:tcW w:w="1209"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89" w:type="dxa"/>
            <w:tcBorders/>
            <w:vAlign w:val="bottom"/>
          </w:tcPr>
          <w:p>
            <w:pPr>
              <w:pStyle w:val="TableContents"/>
              <w:bidi w:val="0"/>
              <w:spacing w:before="0" w:after="283"/>
              <w:jc w:val="left"/>
              <w:rPr/>
            </w:pPr>
            <w:r>
              <w:rPr/>
              <w:t>  </w:t>
            </w:r>
          </w:p>
        </w:tc>
        <w:tc>
          <w:tcPr>
            <w:tcW w:w="83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09" w:type="dxa"/>
            <w:tcBorders/>
            <w:vAlign w:val="center"/>
          </w:tcPr>
          <w:p>
            <w:pPr>
              <w:pStyle w:val="TableContents"/>
              <w:bidi w:val="0"/>
              <w:spacing w:before="0" w:after="283"/>
              <w:jc w:val="left"/>
              <w:rPr>
                <w:sz w:val="4"/>
                <w:szCs w:val="4"/>
              </w:rPr>
            </w:pPr>
            <w:r>
              <w:rPr>
                <w:sz w:val="4"/>
                <w:szCs w:val="4"/>
              </w:rPr>
            </w:r>
          </w:p>
        </w:tc>
        <w:tc>
          <w:tcPr>
            <w:tcW w:w="8996" w:type="dxa"/>
            <w:gridSpan w:val="2"/>
            <w:tcBorders/>
            <w:vAlign w:val="center"/>
          </w:tcPr>
          <w:p>
            <w:pPr>
              <w:pStyle w:val="TableContents"/>
              <w:bidi w:val="0"/>
              <w:spacing w:before="0" w:after="283"/>
              <w:jc w:val="left"/>
              <w:rPr>
                <w:sz w:val="4"/>
                <w:szCs w:val="4"/>
              </w:rPr>
            </w:pPr>
            <w:r>
              <w:rPr>
                <w:sz w:val="4"/>
                <w:szCs w:val="4"/>
              </w:rPr>
            </w:r>
          </w:p>
        </w:tc>
      </w:tr>
      <w:tr>
        <w:trPr/>
        <w:tc>
          <w:tcPr>
            <w:tcW w:w="1209" w:type="dxa"/>
            <w:tcBorders/>
            <w:vAlign w:val="bottom"/>
          </w:tcPr>
          <w:p>
            <w:pPr>
              <w:pStyle w:val="TableContents"/>
              <w:bidi w:val="0"/>
              <w:spacing w:before="0" w:after="283"/>
              <w:jc w:val="left"/>
              <w:rPr/>
            </w:pPr>
            <w:r>
              <w:rPr/>
              <w:t>99.1</w:t>
            </w:r>
          </w:p>
        </w:tc>
        <w:tc>
          <w:tcPr>
            <w:tcW w:w="689" w:type="dxa"/>
            <w:tcBorders/>
            <w:vAlign w:val="bottom"/>
          </w:tcPr>
          <w:p>
            <w:pPr>
              <w:pStyle w:val="TableContents"/>
              <w:bidi w:val="0"/>
              <w:spacing w:before="0" w:after="283"/>
              <w:jc w:val="left"/>
              <w:rPr/>
            </w:pPr>
            <w:r>
              <w:rPr/>
              <w:t>  </w:t>
            </w:r>
          </w:p>
        </w:tc>
        <w:tc>
          <w:tcPr>
            <w:tcW w:w="8307" w:type="dxa"/>
            <w:tcBorders/>
          </w:tcPr>
          <w:p>
            <w:pPr>
              <w:pStyle w:val="TableContents"/>
              <w:bidi w:val="0"/>
              <w:spacing w:before="0" w:after="0"/>
              <w:jc w:val="left"/>
              <w:rPr/>
            </w:pPr>
            <w:hyperlink w:anchor="d62292dex991.htm">
              <w:r>
                <w:rPr>
                  <w:rStyle w:val="InternetLink"/>
                  <w:rFonts w:ascii="Times New Roman" w:hAnsi="Times New Roman"/>
                  <w:sz w:val="20"/>
                </w:rPr>
                <w:t>Press Release issued by the Company on July 8, 2026</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tcPr>
          <w:p>
            <w:pPr>
              <w:pStyle w:val="TableContents"/>
              <w:bidi w:val="0"/>
              <w:spacing w:before="0" w:after="283"/>
              <w:jc w:val="left"/>
              <w:rPr>
                <w:b/>
              </w:rPr>
            </w:pPr>
            <w:r>
              <w:rPr>
                <w:b/>
              </w:rPr>
              <w:t>SILICON MOTION TECHNOLOGY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pPr>
            <w:r>
              <w:rPr/>
              <w:t>Date: July 8, 2026</w:t>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62292dex991.htm"/>
      <w:bookmarkStart w:id="3" w:name="ksd6229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716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4381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Silicon Motion Announces Second Quarter 2026 </w:t>
      </w:r>
    </w:p>
    <w:p>
      <w:pPr>
        <w:pStyle w:val="TextBody"/>
        <w:bidi w:val="0"/>
        <w:spacing w:before="0" w:after="0"/>
        <w:jc w:val="center"/>
        <w:rPr>
          <w:rFonts w:ascii="Times New Roman" w:hAnsi="Times New Roman"/>
          <w:b/>
          <w:sz w:val="20"/>
        </w:rPr>
      </w:pPr>
      <w:r>
        <w:rPr>
          <w:rFonts w:ascii="Times New Roman" w:hAnsi="Times New Roman"/>
          <w:b/>
          <w:sz w:val="20"/>
        </w:rPr>
        <w:t xml:space="preserve">Earnings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TAIPEI, Taiwan and MILPITAS, Calif., July 8, 2026 – Silicon Motion Technology Corporation (NasdaqGS: SIMO) (“Silicon Motion” or the “Company”), a global leader in NAND flash controllers for solid state storage devices, plans to release its second quarter 2026 financial results after the market closes on July 29, 2026 and will host a conference call on July 30 at 8:00 a.m. Eastern Time. Participants must pre-register using the link below to participate in the live call.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DETAILS: </w:t>
      </w:r>
    </w:p>
    <w:p>
      <w:pPr>
        <w:pStyle w:val="TextBody"/>
        <w:bidi w:val="0"/>
        <w:spacing w:before="120" w:after="0"/>
        <w:jc w:val="left"/>
        <w:rPr>
          <w:rFonts w:ascii="Times New Roman" w:hAnsi="Times New Roman"/>
          <w:sz w:val="20"/>
        </w:rPr>
      </w:pPr>
      <w:r>
        <w:rPr>
          <w:rFonts w:ascii="Times New Roman" w:hAnsi="Times New Roman"/>
          <w:sz w:val="20"/>
        </w:rPr>
        <w:t xml:space="preserve">Participants must register in advance to join the conference call using the link provided below. Conference access information (including dial-in information and a unique access PIN) will be provided in the email received upon registration. </w:t>
      </w:r>
    </w:p>
    <w:p>
      <w:pPr>
        <w:pStyle w:val="TextBody"/>
        <w:bidi w:val="0"/>
        <w:spacing w:before="240" w:after="0"/>
        <w:jc w:val="left"/>
        <w:rPr>
          <w:rFonts w:ascii="Times New Roman" w:hAnsi="Times New Roman"/>
          <w:sz w:val="20"/>
        </w:rPr>
      </w:pPr>
      <w:r>
        <w:rPr>
          <w:rFonts w:ascii="Times New Roman" w:hAnsi="Times New Roman"/>
          <w:sz w:val="20"/>
        </w:rPr>
        <w:t xml:space="preserve">Participant Call Registration: </w:t>
      </w:r>
    </w:p>
    <w:p>
      <w:pPr>
        <w:pStyle w:val="TextBody"/>
        <w:bidi w:val="0"/>
        <w:spacing w:before="0" w:after="0"/>
        <w:jc w:val="left"/>
        <w:rPr>
          <w:rFonts w:ascii="Times New Roman" w:hAnsi="Times New Roman"/>
          <w:sz w:val="20"/>
        </w:rPr>
      </w:pPr>
      <w:r>
        <w:rPr>
          <w:rFonts w:ascii="Times New Roman" w:hAnsi="Times New Roman"/>
          <w:sz w:val="20"/>
          <w:u w:val="single"/>
        </w:rPr>
        <w:t>https://register-conf.media-server.com/register/BIe2be1a4a643c47708d5248b81964b23d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call will be webcast on the Company’s website at </w:t>
      </w:r>
      <w:r>
        <w:rPr>
          <w:rFonts w:ascii="Times New Roman" w:hAnsi="Times New Roman"/>
          <w:sz w:val="20"/>
          <w:u w:val="single"/>
        </w:rPr>
        <w:t>www.siliconmotion.com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SILICON MOTION: </w:t>
      </w:r>
    </w:p>
    <w:p>
      <w:pPr>
        <w:pStyle w:val="TextBody"/>
        <w:bidi w:val="0"/>
        <w:spacing w:before="120" w:after="0"/>
        <w:jc w:val="left"/>
        <w:rPr>
          <w:rFonts w:ascii="Times New Roman" w:hAnsi="Times New Roman"/>
          <w:sz w:val="20"/>
        </w:rPr>
      </w:pPr>
      <w:r>
        <w:rPr>
          <w:rFonts w:ascii="Times New Roman" w:hAnsi="Times New Roman"/>
          <w:sz w:val="20"/>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 and specialized industrial and automotive SSD solutions. Our customers include most of the NAND flash vendors, storage device module makers and leading OEMs. For further information on Silicon Motion, visit us at </w:t>
      </w:r>
      <w:r>
        <w:rPr>
          <w:rFonts w:ascii="Times New Roman" w:hAnsi="Times New Roman"/>
          <w:sz w:val="20"/>
          <w:u w:val="single"/>
        </w:rPr>
        <w:t>www.siliconmotion.com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contains “forward-looking statements” within the meaning of Section 27A of the Securities Act of 1933, as amended, and Section 21E of the Securities Exchange Act of 1934, as amended. In some cases, you can identify forward-looking statements by terminology such as “may,” “will,” “should,” “expect,” “intend,” “plan,” “anticipate,” “believe,” “estimate,” “predict,” “potential,” “continue,” or the negative of these terms or other comparable terminology. Although such statements are based on our own information and information from other sources we believe to be reliable, you should not place undue reliance on them. These statements involve risks and uncertainties, and actual market trends or our actual results of operations, financial condition or business prospects may differ materially from those expressed or implied in these forward-looking statements for a variety of reasons. Potential risks and uncertainties include, but are not limited to the unpredictable volume and timing of customer orders, which are not fixed by contract but vary on a purchase order basis; the loss of one or more key customers or the significant reduction, postponement, rescheduling or cancellation of orders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71650"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71650" cy="4381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from one or more customers; general economic conditions or conditions in the semiconductor or consumer electronics markets; the impact of inflation on our business and customer’s businesses and any effect this has on economic activity in the markets in which we operate; the functionalities and performance of our information technology (“IT”) systems, which are subject to cybersecurity threats and which support our critical operational activities, and any breaches of our IT systems or those of our customers, suppliers, partners and providers of third-party licensed technology; the effects on our business and our customer’s business taking into account the ongoing U.S.-China tariffs and trade disputes; other factors beyond our control such as nature disasters, terrorism, civil unrest, war, including conflicts in the Middle East, threats to the Strait of Hormuz and global energy supply routes, and the ongoing Russia-Ukraine War, and pandemics, epidemics and other health emergencies; the continuing tensions between Taiwan and China, including enhanced military activities; decreases in the overall average selling prices of our products; changes in the relative sales mix of our products; supply chain disruptions that have affected us and our industry as well as other industries on a global basis; the payment, or non-payment, of cash dividends in the future at the discretion of our Board of Directors and any announced planned increases in such dividends; changes in our cost of finished goods; the availability, pricing, and timeliness of delivery of other components and raw materials used in the products we sell given the current raw material supply shortages being experienced in our industry; our customers’ sales outlook, purchasing patterns, and inventory adjustments based on consumer demands and general economic conditions; any potential impairment charges that may be incurred related to businesses previously acquired or divested in the future; the risk that the anticipated benefits from our PCIe 5 controller products, including higher average selling prices, may not be maintained or may be less than expected; the risk that our anticipated market share gains across our product lines and penetration of enterprise end markets may not materialize as expected or on the anticipated timeline; our ability to successfully develop, introduce, and sell new or enhanced products in a timely manner; and the timing of new product announcements or introductions by us or by our competitors. For additional discussion of these risks and uncertainties and other factors, please see the documents we file from time to time with the U.S. Securities and Exchange Commission, including our Annual Report on Form 20-F filed with the U.S. Securities and Exchange Commission on April 30, 2026. Other than as required under the securities laws, we do not intend, and do not undertake any obligation to, update or revise any forward-looking statements, which apply only as of the date of this news release.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4"/>
        <w:gridCol w:w="120"/>
        <w:gridCol w:w="4831"/>
      </w:tblGrid>
      <w:tr>
        <w:trPr/>
        <w:tc>
          <w:tcPr>
            <w:tcW w:w="52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5254" w:type="dxa"/>
            <w:tcBorders/>
          </w:tcPr>
          <w:p>
            <w:pPr>
              <w:pStyle w:val="TableContents"/>
              <w:bidi w:val="0"/>
              <w:spacing w:before="0" w:after="283"/>
              <w:jc w:val="left"/>
              <w:rPr>
                <w:b/>
              </w:rPr>
            </w:pPr>
            <w:r>
              <w:rPr>
                <w:b/>
              </w:rPr>
              <w:t>Investor Contacts:</w:t>
            </w:r>
          </w:p>
        </w:tc>
        <w:tc>
          <w:tcPr>
            <w:tcW w:w="120"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283"/>
              <w:jc w:val="left"/>
              <w:rPr>
                <w:sz w:val="4"/>
                <w:szCs w:val="4"/>
              </w:rPr>
            </w:pPr>
            <w:r>
              <w:rPr>
                <w:sz w:val="4"/>
                <w:szCs w:val="4"/>
              </w:rPr>
            </w:r>
          </w:p>
        </w:tc>
      </w:tr>
      <w:tr>
        <w:trPr/>
        <w:tc>
          <w:tcPr>
            <w:tcW w:w="5254" w:type="dxa"/>
            <w:tcBorders/>
          </w:tcPr>
          <w:p>
            <w:pPr>
              <w:pStyle w:val="TableContents"/>
              <w:bidi w:val="0"/>
              <w:spacing w:before="0" w:after="283"/>
              <w:jc w:val="left"/>
              <w:rPr/>
            </w:pPr>
            <w:r>
              <w:rPr/>
              <w:t>Tom Sepenzis</w:t>
            </w:r>
          </w:p>
        </w:tc>
        <w:tc>
          <w:tcPr>
            <w:tcW w:w="120"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283"/>
              <w:jc w:val="left"/>
              <w:rPr/>
            </w:pPr>
            <w:r>
              <w:rPr/>
              <w:t>Selina Hsieh</w:t>
            </w:r>
          </w:p>
        </w:tc>
      </w:tr>
      <w:tr>
        <w:trPr/>
        <w:tc>
          <w:tcPr>
            <w:tcW w:w="5254"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Investor Relations &amp; Strategy</w:t>
            </w:r>
          </w:p>
          <w:p>
            <w:pPr>
              <w:pStyle w:val="TableContents"/>
              <w:bidi w:val="0"/>
              <w:spacing w:before="0" w:after="20"/>
              <w:jc w:val="left"/>
              <w:rPr>
                <w:rFonts w:ascii="Times New Roman" w:hAnsi="Times New Roman"/>
                <w:sz w:val="20"/>
                <w:u w:val="single"/>
              </w:rPr>
            </w:pPr>
            <w:r>
              <w:rPr>
                <w:rFonts w:ascii="Times New Roman" w:hAnsi="Times New Roman"/>
                <w:sz w:val="20"/>
                <w:u w:val="single"/>
              </w:rPr>
              <w:t>tsepenzis@siliconmotion.com</w:t>
            </w:r>
          </w:p>
        </w:tc>
        <w:tc>
          <w:tcPr>
            <w:tcW w:w="120"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0"/>
              <w:jc w:val="left"/>
              <w:rPr>
                <w:rFonts w:ascii="Times New Roman" w:hAnsi="Times New Roman"/>
                <w:sz w:val="20"/>
              </w:rPr>
            </w:pPr>
            <w:r>
              <w:rPr>
                <w:rFonts w:ascii="Times New Roman" w:hAnsi="Times New Roman"/>
                <w:sz w:val="20"/>
              </w:rPr>
              <w:t>Investor Relations</w:t>
            </w:r>
          </w:p>
          <w:p>
            <w:pPr>
              <w:pStyle w:val="TableContents"/>
              <w:bidi w:val="0"/>
              <w:spacing w:before="0" w:after="20"/>
              <w:jc w:val="left"/>
              <w:rPr>
                <w:rFonts w:ascii="Times New Roman" w:hAnsi="Times New Roman"/>
                <w:sz w:val="20"/>
                <w:u w:val="single"/>
              </w:rPr>
            </w:pPr>
            <w:r>
              <w:rPr>
                <w:rFonts w:ascii="Times New Roman" w:hAnsi="Times New Roman"/>
                <w:sz w:val="20"/>
                <w:u w:val="single"/>
              </w:rPr>
              <w:t>ir@siliconmotion.com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1063</Words>
  <Characters>6058</Characters>
  <CharactersWithSpaces>7147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