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4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May 5, 2022</w:t>
      </w:r>
    </w:p>
    <w:p>
      <w:pPr>
        <w:spacing w:after="0" w:line="19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Commission File Number: 000-51380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Silicon Motion Technology Corporation</w:t>
      </w:r>
    </w:p>
    <w:p>
      <w:pPr>
        <w:spacing w:after="0" w:line="5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Flat C, 19/F, Wing Cheong Commercial Building</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Nos 19-25 Jervois Street</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5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69" w:lineRule="exact"/>
        <w:rPr>
          <w:sz w:val="24"/>
          <w:szCs w:val="24"/>
          <w:color w:val="auto"/>
        </w:rPr>
      </w:pPr>
    </w:p>
    <w:p>
      <w:pPr>
        <w:jc w:val="center"/>
        <w:ind w:right="-219"/>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69" w:lineRule="exact"/>
        <w:rPr>
          <w:sz w:val="24"/>
          <w:szCs w:val="24"/>
          <w:color w:val="auto"/>
        </w:rPr>
      </w:pPr>
    </w:p>
    <w:p>
      <w:pPr>
        <w:jc w:val="center"/>
        <w:ind w:right="-219"/>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51" w:lineRule="exact"/>
        <w:rPr>
          <w:sz w:val="24"/>
          <w:szCs w:val="24"/>
          <w:color w:val="auto"/>
        </w:rPr>
      </w:pPr>
    </w:p>
    <w:p>
      <w:pPr>
        <w:ind w:left="474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“Yes” is marked, indicate below the file number assigned to the registrant in connection with Rule 12g3-2(b): </w:t>
      </w:r>
      <w:r>
        <w:rPr>
          <w:rFonts w:ascii="Times New Roman" w:cs="Times New Roman" w:eastAsia="Times New Roman" w:hAnsi="Times New Roman"/>
          <w:sz w:val="18"/>
          <w:szCs w:val="18"/>
          <w:u w:val="single" w:color="auto"/>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80"/>
          </w:cols>
          <w:pgMar w:left="440" w:top="376"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5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issued by the Company on May 3, 2022.</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ILICON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OTION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ECHNOLOGY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Riyadh Lai</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Riyadh Lai</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center"/>
        <w:ind w:left="2200"/>
        <w:spacing w:after="0"/>
        <w:rPr>
          <w:sz w:val="20"/>
          <w:szCs w:val="20"/>
          <w:color w:val="auto"/>
        </w:rPr>
      </w:pPr>
      <w:r>
        <w:rPr>
          <w:rFonts w:ascii="Times New Roman" w:cs="Times New Roman" w:eastAsia="Times New Roman" w:hAnsi="Times New Roman"/>
          <w:sz w:val="18"/>
          <w:szCs w:val="18"/>
          <w:b w:val="1"/>
          <w:bCs w:val="1"/>
          <w:color w:val="auto"/>
        </w:rPr>
        <w:t>Silicon Motion Announces Results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745490" cy="694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5490" cy="694055"/>
                    </a:xfrm>
                    <a:prstGeom prst="rect">
                      <a:avLst/>
                    </a:prstGeom>
                    <a:noFill/>
                  </pic:spPr>
                </pic:pic>
              </a:graphicData>
            </a:graphic>
          </wp:anchor>
        </w:drawing>
      </w:r>
    </w:p>
    <w:p>
      <w:pPr>
        <w:spacing w:after="0" w:line="11"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b w:val="1"/>
          <w:bCs w:val="1"/>
          <w:color w:val="auto"/>
        </w:rPr>
        <w:t>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Highlights</w:t>
      </w:r>
    </w:p>
    <w:p>
      <w:pPr>
        <w:spacing w:after="0" w:line="13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exceeded the high end of guidance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SSD controller sales declined 15% to 20% Q/Q and increased 25% to 30% Y/Y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eMMC+UFS controller sales declined 0% to 5% Q/Q and increased 60% to 65% Y/Y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SSD solutions sales decreased 5% to 10% Q/Q and increased 40% to 45% Y/Y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exceeded the high end of guidance due to a stronger sales mix</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$100 million of ADSs at an average price of $80.19, returning $150 million to shareholders since the program was announced last December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w:t>
      </w:r>
    </w:p>
    <w:p>
      <w:pPr>
        <w:spacing w:after="0" w:line="250"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2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14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1Q 2022 GAAP</w:t>
            </w:r>
          </w:p>
        </w:tc>
        <w:tc>
          <w:tcPr>
            <w:tcW w:w="29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1Q 2022 Non-GAAP</w:t>
            </w:r>
          </w:p>
        </w:tc>
      </w:tr>
      <w:tr>
        <w:trPr>
          <w:trHeight w:val="209"/>
        </w:trPr>
        <w:tc>
          <w:tcPr>
            <w:tcW w:w="2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8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 Net sales</w:t>
            </w:r>
          </w:p>
        </w:tc>
        <w:tc>
          <w:tcPr>
            <w:tcW w:w="29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 xml:space="preserve">$242.0 million (-8% </w:t>
            </w:r>
            <w:r>
              <w:rPr>
                <w:rFonts w:ascii="Times New Roman" w:cs="Times New Roman" w:eastAsia="Times New Roman" w:hAnsi="Times New Roman"/>
                <w:sz w:val="18"/>
                <w:szCs w:val="18"/>
                <w:i w:val="1"/>
                <w:iCs w:val="1"/>
                <w:color w:val="auto"/>
                <w:w w:val="99"/>
              </w:rPr>
              <w:t>Q/Q, +33</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i w:val="1"/>
                <w:iCs w:val="1"/>
                <w:color w:val="auto"/>
                <w:w w:val="99"/>
              </w:rPr>
              <w:t>Y/Y</w:t>
            </w:r>
            <w:r>
              <w:rPr>
                <w:rFonts w:ascii="Times New Roman" w:cs="Times New Roman" w:eastAsia="Times New Roman" w:hAnsi="Times New Roman"/>
                <w:sz w:val="18"/>
                <w:szCs w:val="18"/>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 xml:space="preserve">$242.0 million (-8% </w:t>
            </w:r>
            <w:r>
              <w:rPr>
                <w:rFonts w:ascii="Times New Roman" w:cs="Times New Roman" w:eastAsia="Times New Roman" w:hAnsi="Times New Roman"/>
                <w:sz w:val="18"/>
                <w:szCs w:val="18"/>
                <w:i w:val="1"/>
                <w:iCs w:val="1"/>
                <w:color w:val="auto"/>
                <w:w w:val="98"/>
              </w:rPr>
              <w:t>Q/Q, +33</w:t>
            </w: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18"/>
                <w:szCs w:val="18"/>
                <w:i w:val="1"/>
                <w:iCs w:val="1"/>
                <w:color w:val="auto"/>
                <w:w w:val="98"/>
              </w:rPr>
              <w:t>Y/Y</w:t>
            </w:r>
            <w:r>
              <w:rPr>
                <w:rFonts w:ascii="Times New Roman" w:cs="Times New Roman" w:eastAsia="Times New Roman" w:hAnsi="Times New Roman"/>
                <w:sz w:val="18"/>
                <w:szCs w:val="18"/>
                <w:color w:val="auto"/>
                <w:w w:val="98"/>
              </w:rPr>
              <w:t>)</w:t>
            </w:r>
          </w:p>
        </w:tc>
      </w:tr>
      <w:tr>
        <w:trPr>
          <w:trHeight w:val="216"/>
        </w:trPr>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 Gross margin</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52.1%</w:t>
            </w:r>
          </w:p>
        </w:tc>
        <w:tc>
          <w:tcPr>
            <w:tcW w:w="2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 Operating margin</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27.4%</w:t>
            </w:r>
          </w:p>
        </w:tc>
        <w:tc>
          <w:tcPr>
            <w:tcW w:w="20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29.8%</w:t>
            </w:r>
          </w:p>
        </w:tc>
      </w:tr>
      <w:tr>
        <w:trPr>
          <w:trHeight w:val="234"/>
        </w:trPr>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 Earnings per diluted ADS</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$1.72</w:t>
            </w:r>
          </w:p>
        </w:tc>
      </w:tr>
    </w:tbl>
    <w:p>
      <w:pPr>
        <w:spacing w:after="0" w:line="175"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TAIPEI, Taiwan and MILPITAS, Calif., May 5, 2022 </w:t>
      </w:r>
      <w:r>
        <w:rPr>
          <w:rFonts w:ascii="Times New Roman" w:cs="Times New Roman" w:eastAsia="Times New Roman" w:hAnsi="Times New Roman"/>
          <w:sz w:val="18"/>
          <w:szCs w:val="18"/>
          <w:color w:val="auto"/>
        </w:rPr>
        <w:t>– Silicon Motion Technology Corporation (NasdaqGS: SIMO) (“Silicon Motion”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its financial results for the quarter ended March 31, 2022. For the first quarter of 2022, net sales (GAAP) declined sequentially to $242.0 million from $264.4 million in the fourth quarter of 2021. Net income (GAAP) declined to $54.5 million or $1.60 per diluted ADS (GAAP) from net income (GAAP) of $60.6 million or $1.73 per diluted ADS (GAAP) in the fourth quarter of 2021.</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first quarter of 2022, net income (non-GAAP) declined to $58.9 million or $1.72 per diluted ADS (non-GAAP) from net income (non-GAAP) of $67.6 million or $1.91 per diluted ADS (non-GAAP) in the fourth quarter of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2022 Review</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“Due to strong shipments of SSD controllers for OEMs, we delivered results that were ahead of expectations” said Wallace Kou, President and CEO of Silicon Motion. “Our overall PCIe SSD controller sales were up over 50% year-over-year, and our new OEM-focused PCIe Gen4 controller sales, which we started shipping in Q3 2021, scaled 4x sequentially.”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Key Financial Results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 and per ADS amounts)</w:t>
            </w:r>
          </w:p>
        </w:tc>
        <w:tc>
          <w:tcPr>
            <w:tcW w:w="2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80" w:type="dxa"/>
            <w:vAlign w:val="bottom"/>
            <w:tcBorders>
              <w:bottom w:val="single" w:sz="8" w:color="auto"/>
            </w:tcBorders>
            <w:gridSpan w:val="4"/>
            <w:vMerge w:val="continue"/>
          </w:tcPr>
          <w:p>
            <w:pPr>
              <w:spacing w:after="0"/>
              <w:rPr>
                <w:sz w:val="12"/>
                <w:szCs w:val="12"/>
                <w:color w:val="auto"/>
              </w:rPr>
            </w:pPr>
          </w:p>
        </w:tc>
        <w:tc>
          <w:tcPr>
            <w:tcW w:w="2720" w:type="dxa"/>
            <w:vAlign w:val="bottom"/>
          </w:tcPr>
          <w:p>
            <w:pPr>
              <w:spacing w:after="0"/>
              <w:rPr>
                <w:sz w:val="12"/>
                <w:szCs w:val="12"/>
                <w:color w:val="auto"/>
              </w:rPr>
            </w:pPr>
          </w:p>
        </w:tc>
        <w:tc>
          <w:tcPr>
            <w:tcW w:w="880" w:type="dxa"/>
            <w:vAlign w:val="bottom"/>
            <w:gridSpan w:val="3"/>
          </w:tcPr>
          <w:p>
            <w:pPr>
              <w:jc w:val="right"/>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1Q 2022</w:t>
            </w:r>
          </w:p>
        </w:tc>
        <w:tc>
          <w:tcPr>
            <w:tcW w:w="880" w:type="dxa"/>
            <w:vAlign w:val="bottom"/>
            <w:gridSpan w:val="3"/>
          </w:tcPr>
          <w:p>
            <w:pPr>
              <w:jc w:val="right"/>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4Q 2021</w:t>
            </w:r>
          </w:p>
        </w:tc>
        <w:tc>
          <w:tcPr>
            <w:tcW w:w="52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1Q 2021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5"/>
          </w:tcPr>
          <w:p>
            <w:pPr>
              <w:jc w:val="right"/>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1Q 2022</w:t>
            </w:r>
          </w:p>
        </w:tc>
        <w:tc>
          <w:tcPr>
            <w:tcW w:w="180" w:type="dxa"/>
            <w:vAlign w:val="bottom"/>
          </w:tcPr>
          <w:p>
            <w:pPr>
              <w:spacing w:after="0"/>
              <w:rPr>
                <w:sz w:val="12"/>
                <w:szCs w:val="12"/>
                <w:color w:val="auto"/>
              </w:rPr>
            </w:pPr>
          </w:p>
        </w:tc>
        <w:tc>
          <w:tcPr>
            <w:tcW w:w="720" w:type="dxa"/>
            <w:vAlign w:val="bottom"/>
            <w:gridSpan w:val="5"/>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7"/>
              </w:rPr>
              <w:t>4Q 2021</w:t>
            </w:r>
          </w:p>
        </w:tc>
        <w:tc>
          <w:tcPr>
            <w:tcW w:w="160" w:type="dxa"/>
            <w:vAlign w:val="bottom"/>
          </w:tcPr>
          <w:p>
            <w:pPr>
              <w:spacing w:after="0"/>
              <w:rPr>
                <w:sz w:val="12"/>
                <w:szCs w:val="12"/>
                <w:color w:val="auto"/>
              </w:rPr>
            </w:pPr>
          </w:p>
        </w:tc>
        <w:tc>
          <w:tcPr>
            <w:tcW w:w="5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7"/>
              </w:rPr>
              <w:t>1Q 2021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2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242.0</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264.4</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$182.4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$242.0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$264.4</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3"/>
              </w:rPr>
              <w:t>182.4</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126.1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131.2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91.3</w:t>
            </w:r>
          </w:p>
        </w:tc>
        <w:tc>
          <w:tcPr>
            <w:tcW w:w="84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$126.3</w:t>
            </w:r>
          </w:p>
        </w:tc>
        <w:tc>
          <w:tcPr>
            <w:tcW w:w="9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$131.9</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30"/>
        </w:trPr>
        <w:tc>
          <w:tcPr>
            <w:tcW w:w="31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Percent of revenue</w:t>
            </w:r>
          </w:p>
        </w:tc>
        <w:tc>
          <w:tcPr>
            <w:tcW w:w="2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52.1%</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49.6%</w:t>
            </w:r>
          </w:p>
        </w:tc>
        <w:tc>
          <w:tcPr>
            <w:tcW w:w="14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50.0%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52.2%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49.9%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50.7%</w:t>
            </w:r>
          </w:p>
        </w:tc>
        <w:tc>
          <w:tcPr>
            <w:tcW w:w="0" w:type="dxa"/>
            <w:vAlign w:val="bottom"/>
          </w:tcPr>
          <w:p>
            <w:pPr>
              <w:spacing w:after="0"/>
              <w:rPr>
                <w:sz w:val="1"/>
                <w:szCs w:val="1"/>
                <w:color w:val="auto"/>
              </w:rPr>
            </w:pPr>
          </w:p>
        </w:tc>
      </w:tr>
      <w:tr>
        <w:trPr>
          <w:trHeight w:val="216"/>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50.3</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81.6</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30"/>
        </w:trPr>
        <w:tc>
          <w:tcPr>
            <w:tcW w:w="3180" w:type="dxa"/>
            <w:vAlign w:val="bottom"/>
            <w:gridSpan w:val="4"/>
          </w:tcPr>
          <w:p>
            <w:pPr>
              <w:ind w:left="360"/>
              <w:spacing w:after="0"/>
              <w:rPr>
                <w:sz w:val="20"/>
                <w:szCs w:val="20"/>
                <w:color w:val="auto"/>
              </w:rPr>
            </w:pPr>
            <w:r>
              <w:rPr>
                <w:rFonts w:ascii="Times New Roman" w:cs="Times New Roman" w:eastAsia="Times New Roman" w:hAnsi="Times New Roman"/>
                <w:sz w:val="18"/>
                <w:szCs w:val="18"/>
                <w:i w:val="1"/>
                <w:iCs w:val="1"/>
                <w:color w:val="auto"/>
              </w:rPr>
              <w:t>Percent of revenue</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27.4%</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27.3%</w:t>
            </w:r>
          </w:p>
        </w:tc>
        <w:tc>
          <w:tcPr>
            <w:tcW w:w="140" w:type="dxa"/>
            <w:vAlign w:val="bottom"/>
          </w:tcPr>
          <w:p>
            <w:pPr>
              <w:spacing w:after="0"/>
              <w:rPr>
                <w:sz w:val="19"/>
                <w:szCs w:val="19"/>
                <w:color w:val="auto"/>
              </w:rPr>
            </w:pPr>
          </w:p>
        </w:tc>
        <w:tc>
          <w:tcPr>
            <w:tcW w:w="6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26.6%</w:t>
            </w: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diluted ADS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499"/>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Financial Information</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Borders>
              <w:top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1Q 2022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4Q 2021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1Q 2021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900" w:type="dxa"/>
            <w:vAlign w:val="bottom"/>
            <w:tcBorders>
              <w:top w:val="single" w:sz="8" w:color="CCEEFF"/>
            </w:tcBorders>
            <w:gridSpan w:val="7"/>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9"/>
              </w:rPr>
              <w:t>Cash, cash equivalents, restricted cash and short-term investments—end of period</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281.7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415.5</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right w:val="single" w:sz="8" w:color="CCEEFF"/>
            </w:tcBorders>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w w:val="98"/>
              </w:rPr>
              <w:t>371.0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Routine capital expenditures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we had $11.7 million of capital expenditures, including $5.7 million for the routine purchase of testing equipment, software, design tools and other items, and $6.0 million for building construction in Hsinchu.</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Returning Value to Shareholders</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October 25, 2021, our Board of Directors declared a $2.00 per ADS annual dividend to be paid in quarterly installments of $0.50 per ADS. On February 25, 2022, we paid $17.0 million to shareholders as the second installment of the annual dividend.</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December 7, 2021, we announced that our Board of Directors had authorized a new program for the Company to repurchase up to $200 million of our ADSs over a 6-month period. During the first quarter of 2022, through our Rule 10b5-1 repurchase plan, $100.0 million of our ADSs were repurchased at an average price of $80.19. Since the program’s announcement, $150.0 million of our ADSs were repurchased at an average price of $83.18.</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Outlook</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increasingly confident and optimistic about our growth prospects as our pipeline of OEM projects, customers, end-markets and sales commitments continued to expand,” said Wallace Kou, President and CEO of Silicon Motion. “We expect that our PCIe Gen4 SSD controller ramp this year will be very robust, in parallel with our rapid UFS+eMMC controller market share gains—as our share-of-wallet at customers increases and our customers broaden their market presence. Additionally, we believe that we are paving a solid foundation into the automotive market and are on-track to launch our PCIe Gen 5 enterprise-grade SSD controllers later this year.”</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40" w:top="266"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Discussion of Non-GAAP Financial Measures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supplement the Company’s unaudited selected financial results calculated in accordance with U.S. Generally Accepted Accounting Principles (“GAAP”), the Company discloses certain non-GAAP financial measures that exclude stock-based compensation and other items, including gross profit (non-GAAP), operating expenses (non-GAAP), operating profit (non-GAAP), net income (non-GAAP), and earnings per diluted ADS (non-GAAP). These non-GAAP measures are not in accordance with or an alternative to GAAP, and may be different from non-GAAP measures used by other companies. We believe that these non-GAAP measures have limitations in that they do not reflect all the amounts associated with the Company’s results of operations as determined in accordance with GAAP and that these measures should only be used to evaluate the Company’s results of operations in conjunction with the corresponding GAAP measures. The presentation of this additional information is not meant to be considered in isolation or as a substitute for the most directly comparable GAAP measure. We compensate for the limitations of our non-GAAP financial measures by relying upon GAAP results to gain a complete picture of our performance.</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non-GAAP financial measures are provided to enhance the user’s overall understanding of our current financial performance and our prospects for the future. Specifically, we believe the non-GAAP results provide useful information to both management and investors as these non-GAAP results exclude certain expenses, gains and losses that we believe are not indicative of our core operating results and because they are consistent with the financial models and estimates published by many analysts who follow the Company. We use non-GAAP measures to evaluate the operating performance of our business, for comparison with our forecasts, and for benchmarking our performance externally against our competitors. Also, when evaluating potential acquisitions, we exclude the items described below from our consideration of the target’s performance and valuation. Since we find these measures to be useful, we believe that our investors benefit from seeing the results from management’s perspective in addition to seeing our GAAP results. We believe that these non-GAAP measures, when read in conjunction with the Company’s GAAP financials, provide useful information to investors by offering:</w:t>
      </w:r>
    </w:p>
    <w:p>
      <w:pPr>
        <w:spacing w:after="0" w:line="94"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more meaningful period-to-period comparisons of the Company’s on-going operating results;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better identify trends in the Company’s underlying business and perform related trend analysis;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better understanding of how management plans and measures the Company’s underlying business; and</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easier way to compare the Company’s operating results against analyst financial models and operating results of our competitors that supplement their GAAP results with non-GAAP financial measures.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6" w:right="499" w:bottom="1440" w:gutter="0" w:footer="0" w:header="0"/>
        </w:sectPr>
      </w:pPr>
    </w:p>
    <w:bookmarkStart w:id="7" w:name="page8"/>
    <w:bookmarkEnd w:id="7"/>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are explanations of each of the adjustments that we incorporate into our non-GAAP measures, as well as the reasons for excluding each of these individual items in our reconciliation of these non-GAAP financial measures:</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 </w:t>
      </w:r>
      <w:r>
        <w:rPr>
          <w:rFonts w:ascii="Times New Roman" w:cs="Times New Roman" w:eastAsia="Times New Roman" w:hAnsi="Times New Roman"/>
          <w:sz w:val="18"/>
          <w:szCs w:val="18"/>
          <w:color w:val="auto"/>
        </w:rPr>
        <w:t>consists of non-cash charges related to the fair value of restricted stock units awarded to employees.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believes that the exclusion of these non-cash charges provides for more accurate comparisons of our operating results to our peer companies due to the varying available valuation methodologies, subjective assumptions and the variety of award types. In addition, the Company believes it is useful to investors to understand the specific impact of share-based compensation on its operating results.</w:t>
      </w:r>
    </w:p>
    <w:p>
      <w:pPr>
        <w:spacing w:after="0" w:line="18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SSD solutions restructuring </w:t>
      </w:r>
      <w:r>
        <w:rPr>
          <w:rFonts w:ascii="Times New Roman" w:cs="Times New Roman" w:eastAsia="Times New Roman" w:hAnsi="Times New Roman"/>
          <w:sz w:val="18"/>
          <w:szCs w:val="18"/>
          <w:color w:val="auto"/>
        </w:rPr>
        <w:t>are charges relate to the restructuring of our underperforming Shannon product lines, the write-down of NAND flash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SSD inventory valuation attributable to these product lines.</w:t>
      </w:r>
    </w:p>
    <w:p>
      <w:pPr>
        <w:spacing w:after="0" w:line="1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exchange gains and losses </w:t>
      </w:r>
      <w:r>
        <w:rPr>
          <w:rFonts w:ascii="Times New Roman" w:cs="Times New Roman" w:eastAsia="Times New Roman" w:hAnsi="Times New Roman"/>
          <w:sz w:val="18"/>
          <w:szCs w:val="18"/>
          <w:color w:val="auto"/>
        </w:rPr>
        <w:t>consist of translation gains and/or losses of non-US$ denominated current assets and current liabilities,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other balance sheet items which result from the appreciation or depreciation of non-US$ currencies against the US$. We do not use financial instruments to manage the impact on our operations from changes in foreign exchange rates, and because our operations are subject to fluctuations in foreign exchange rates, we therefore exclude foreign exchange gains and losses when presenting non-GAAP financial measures.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440" w:top="270" w:right="6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Silicon Motion Technology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percentages and per ADS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41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04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1120" w:type="dxa"/>
            <w:vAlign w:val="bottom"/>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220" w:type="dxa"/>
            <w:vAlign w:val="bottom"/>
          </w:tcPr>
          <w:p>
            <w:pPr>
              <w:spacing w:after="0"/>
              <w:rPr>
                <w:sz w:val="10"/>
                <w:szCs w:val="10"/>
                <w:color w:val="auto"/>
              </w:rPr>
            </w:pPr>
          </w:p>
        </w:tc>
      </w:tr>
      <w:tr>
        <w:trPr>
          <w:trHeight w:val="148"/>
        </w:trPr>
        <w:tc>
          <w:tcPr>
            <w:tcW w:w="4100" w:type="dxa"/>
            <w:vAlign w:val="bottom"/>
          </w:tcPr>
          <w:p>
            <w:pPr>
              <w:spacing w:after="0"/>
              <w:rPr>
                <w:sz w:val="12"/>
                <w:szCs w:val="12"/>
                <w:color w:val="auto"/>
              </w:rPr>
            </w:pPr>
          </w:p>
        </w:tc>
        <w:tc>
          <w:tcPr>
            <w:tcW w:w="4600" w:type="dxa"/>
            <w:vAlign w:val="bottom"/>
            <w:gridSpan w:val="2"/>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r>
      <w:tr>
        <w:trPr>
          <w:trHeight w:val="173"/>
        </w:trPr>
        <w:tc>
          <w:tcPr>
            <w:tcW w:w="4100" w:type="dxa"/>
            <w:vAlign w:val="bottom"/>
          </w:tcPr>
          <w:p>
            <w:pPr>
              <w:spacing w:after="0"/>
              <w:rPr>
                <w:sz w:val="15"/>
                <w:szCs w:val="15"/>
                <w:color w:val="auto"/>
              </w:rPr>
            </w:pPr>
          </w:p>
        </w:tc>
        <w:tc>
          <w:tcPr>
            <w:tcW w:w="4600" w:type="dxa"/>
            <w:vAlign w:val="bottom"/>
            <w:gridSpan w:val="2"/>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9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182,399</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264,357</w:t>
            </w: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241,978</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9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91,140</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133,126</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115,871</w:t>
            </w:r>
          </w:p>
        </w:tc>
      </w:tr>
      <w:tr>
        <w:trPr>
          <w:trHeight w:val="27"/>
        </w:trPr>
        <w:tc>
          <w:tcPr>
            <w:tcW w:w="4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9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91,259</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131,231</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126,107</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&amp; development</w:t>
            </w:r>
          </w:p>
        </w:tc>
        <w:tc>
          <w:tcPr>
            <w:tcW w:w="50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35,982</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44,747</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45,623</w:t>
            </w: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&amp; marketing</w:t>
            </w:r>
          </w:p>
        </w:tc>
        <w:tc>
          <w:tcPr>
            <w:tcW w:w="50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6,446</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7,534</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7,602</w:t>
            </w: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50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4,439</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6,802</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6,520</w:t>
            </w: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9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44,392</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72,148</w:t>
            </w:r>
          </w:p>
        </w:tc>
        <w:tc>
          <w:tcPr>
            <w:tcW w:w="4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66,362</w:t>
            </w:r>
          </w:p>
        </w:tc>
        <w:tc>
          <w:tcPr>
            <w:tcW w:w="22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50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361</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270</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5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(808)</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598</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39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(80)</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9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(444)</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788</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39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43,948</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72,936</w:t>
            </w:r>
          </w:p>
        </w:tc>
        <w:tc>
          <w:tcPr>
            <w:tcW w:w="4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66,788</w:t>
            </w:r>
          </w:p>
        </w:tc>
        <w:tc>
          <w:tcPr>
            <w:tcW w:w="22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0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9,548</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12,301</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12,286</w:t>
            </w: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9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60,635</w:t>
            </w:r>
          </w:p>
        </w:tc>
        <w:tc>
          <w:tcPr>
            <w:tcW w:w="4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54,502</w:t>
            </w:r>
          </w:p>
        </w:tc>
        <w:tc>
          <w:tcPr>
            <w:tcW w:w="22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basic ADS</w:t>
            </w:r>
          </w:p>
        </w:tc>
        <w:tc>
          <w:tcPr>
            <w:tcW w:w="50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0.99</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1.74</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diluted ADS</w:t>
            </w:r>
          </w:p>
        </w:tc>
        <w:tc>
          <w:tcPr>
            <w:tcW w:w="50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0.98</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1.73</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Margin Analysis:</w:t>
            </w:r>
          </w:p>
        </w:tc>
        <w:tc>
          <w:tcPr>
            <w:tcW w:w="3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49.6%</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5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24.3%</w:t>
            </w: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margin</w:t>
            </w:r>
          </w:p>
        </w:tc>
        <w:tc>
          <w:tcPr>
            <w:tcW w:w="5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22.9%</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Data:</w:t>
            </w:r>
          </w:p>
        </w:tc>
        <w:tc>
          <w:tcPr>
            <w:tcW w:w="3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avg. ADS equivalents</w:t>
            </w:r>
          </w:p>
        </w:tc>
        <w:tc>
          <w:tcPr>
            <w:tcW w:w="50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34,674</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34,872</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33,807</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ADS equivalents</w:t>
            </w:r>
          </w:p>
        </w:tc>
        <w:tc>
          <w:tcPr>
            <w:tcW w:w="50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34,924</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35,068</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34,010</w:t>
            </w:r>
          </w:p>
        </w:tc>
      </w:tr>
      <w:tr>
        <w:trPr>
          <w:trHeight w:val="365"/>
        </w:trPr>
        <w:tc>
          <w:tcPr>
            <w:tcW w:w="4100" w:type="dxa"/>
            <w:vAlign w:val="bottom"/>
          </w:tcPr>
          <w:p>
            <w:pPr>
              <w:spacing w:after="0"/>
              <w:rPr>
                <w:sz w:val="24"/>
                <w:szCs w:val="24"/>
                <w:color w:val="auto"/>
              </w:rPr>
            </w:pPr>
          </w:p>
        </w:tc>
        <w:tc>
          <w:tcPr>
            <w:tcW w:w="3960" w:type="dxa"/>
            <w:vAlign w:val="bottom"/>
          </w:tcPr>
          <w:p>
            <w:pPr>
              <w:jc w:val="right"/>
              <w:ind w:right="2432"/>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Silicon Motion Technology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Reconciliation of GAAP to Non-GAAP Operating Results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percentages and per ADS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48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760" w:type="dxa"/>
            <w:vAlign w:val="bottom"/>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100" w:type="dxa"/>
            <w:vAlign w:val="bottom"/>
          </w:tcPr>
          <w:p>
            <w:pPr>
              <w:spacing w:after="0"/>
              <w:rPr>
                <w:sz w:val="10"/>
                <w:szCs w:val="10"/>
                <w:color w:val="auto"/>
              </w:rPr>
            </w:pPr>
          </w:p>
        </w:tc>
        <w:tc>
          <w:tcPr>
            <w:tcW w:w="5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220" w:type="dxa"/>
            <w:vAlign w:val="bottom"/>
          </w:tcPr>
          <w:p>
            <w:pPr>
              <w:spacing w:after="0"/>
              <w:rPr>
                <w:sz w:val="10"/>
                <w:szCs w:val="10"/>
                <w:color w:val="auto"/>
              </w:rPr>
            </w:pPr>
          </w:p>
        </w:tc>
      </w:tr>
      <w:tr>
        <w:trPr>
          <w:trHeight w:val="149"/>
        </w:trPr>
        <w:tc>
          <w:tcPr>
            <w:tcW w:w="48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1"/>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r>
      <w:tr>
        <w:trPr>
          <w:trHeight w:val="173"/>
        </w:trPr>
        <w:tc>
          <w:tcPr>
            <w:tcW w:w="4800" w:type="dxa"/>
            <w:vAlign w:val="bottom"/>
            <w:tcBorders>
              <w:bottom w:val="single" w:sz="8" w:color="CCEEFF"/>
            </w:tcBorders>
          </w:tcPr>
          <w:p>
            <w:pPr>
              <w:spacing w:after="0"/>
              <w:rPr>
                <w:sz w:val="15"/>
                <w:szCs w:val="15"/>
                <w:color w:val="auto"/>
              </w:rPr>
            </w:pPr>
          </w:p>
        </w:tc>
        <w:tc>
          <w:tcPr>
            <w:tcW w:w="29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(GAAP)</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91,259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131,231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126,107</w:t>
            </w:r>
          </w:p>
        </w:tc>
        <w:tc>
          <w:tcPr>
            <w:tcW w:w="220" w:type="dxa"/>
            <w:vAlign w:val="bottom"/>
            <w:shd w:val="clear" w:color="auto" w:fill="CCEEFF"/>
          </w:tcPr>
          <w:p>
            <w:pPr>
              <w:spacing w:after="0"/>
              <w:rPr>
                <w:sz w:val="18"/>
                <w:szCs w:val="18"/>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Gross margin (GAAP)</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4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4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SSD solutions restructuring</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(non-GAAP)</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92,444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9"/>
              </w:rPr>
              <w:t>131,881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126,347</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Gross margin (non-GAAP)</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(GAAP)</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46,867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59,083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59,745</w:t>
            </w:r>
          </w:p>
        </w:tc>
      </w:tr>
      <w:tr>
        <w:trPr>
          <w:trHeight w:val="216"/>
        </w:trPr>
        <w:tc>
          <w:tcPr>
            <w:tcW w:w="4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(8,822)</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(5,430)</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(non-GAAP)</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43,906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50,261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54,315</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 (GAAP)</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44,392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72,148</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66,362</w:t>
            </w: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Operating margin (GAAP)</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4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adjustments to operating profit</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9,472</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5,670</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 (non-GAAP)</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48,538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81,620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72,032</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Operating margin (non-GAAP)</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 (GAAP)</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4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 (non-GAAP)</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34,400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60,635</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54,502</w:t>
            </w:r>
          </w:p>
        </w:tc>
      </w:tr>
      <w:tr>
        <w:trPr>
          <w:trHeight w:val="216"/>
        </w:trPr>
        <w:tc>
          <w:tcPr>
            <w:tcW w:w="4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pre-tax impact of non-GAAP adjustments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8,874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5,505</w:t>
            </w:r>
          </w:p>
        </w:tc>
      </w:tr>
      <w:tr>
        <w:trPr>
          <w:trHeight w:val="216"/>
        </w:trPr>
        <w:tc>
          <w:tcPr>
            <w:tcW w:w="4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impact of non-GAAP adjustments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(1,062)</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(non-GAAP)</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38,659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67,592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58,945</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diluted ADS (GAAP)</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diluted ADS (non-GAAP)</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r>
      <w:tr>
        <w:trPr>
          <w:trHeight w:val="365"/>
        </w:trPr>
        <w:tc>
          <w:tcPr>
            <w:tcW w:w="4800" w:type="dxa"/>
            <w:vAlign w:val="bottom"/>
          </w:tcPr>
          <w:p>
            <w:pPr>
              <w:spacing w:after="0"/>
              <w:rPr>
                <w:sz w:val="24"/>
                <w:szCs w:val="24"/>
                <w:color w:val="auto"/>
              </w:rPr>
            </w:pPr>
          </w:p>
        </w:tc>
        <w:tc>
          <w:tcPr>
            <w:tcW w:w="290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used in computing earnings per diluted ADS (GAAP)</w:t>
            </w:r>
          </w:p>
        </w:tc>
        <w:tc>
          <w:tcPr>
            <w:tcW w:w="4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34,924</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35,068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34,010</w:t>
            </w: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Non-GAAP adjustments</w:t>
            </w:r>
          </w:p>
        </w:tc>
        <w:tc>
          <w:tcPr>
            <w:tcW w:w="4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used in computing earnings per diluted ADS (non-GAAP)</w:t>
            </w:r>
          </w:p>
        </w:tc>
        <w:tc>
          <w:tcPr>
            <w:tcW w:w="4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34,969</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35,455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34,283</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Excludes stock-based compensation as follows:</w:t>
            </w:r>
          </w:p>
        </w:tc>
        <w:tc>
          <w:tcPr>
            <w:tcW w:w="4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Cost of sales</w:t>
            </w:r>
          </w:p>
        </w:tc>
        <w:tc>
          <w:tcPr>
            <w:tcW w:w="4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Research &amp; development</w:t>
            </w:r>
          </w:p>
        </w:tc>
        <w:tc>
          <w:tcPr>
            <w:tcW w:w="4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2,056</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r>
      <w:tr>
        <w:trPr>
          <w:trHeight w:val="216"/>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Sales &amp; marketing</w:t>
            </w:r>
          </w:p>
        </w:tc>
        <w:tc>
          <w:tcPr>
            <w:tcW w:w="4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34"/>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4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346"/>
        </w:trPr>
        <w:tc>
          <w:tcPr>
            <w:tcW w:w="5220" w:type="dxa"/>
            <w:vAlign w:val="bottom"/>
          </w:tcPr>
          <w:p>
            <w:pPr>
              <w:spacing w:after="0"/>
              <w:rPr>
                <w:sz w:val="24"/>
                <w:szCs w:val="24"/>
                <w:color w:val="auto"/>
              </w:rPr>
            </w:pPr>
          </w:p>
        </w:tc>
        <w:tc>
          <w:tcPr>
            <w:tcW w:w="4420" w:type="dxa"/>
            <w:vAlign w:val="bottom"/>
          </w:tcPr>
          <w:p>
            <w:pPr>
              <w:jc w:val="right"/>
              <w:ind w:right="401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020"/>
          </w:cols>
          <w:pgMar w:left="440" w:top="288"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Silicon Motion Technology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Balance Sheet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4960" w:type="dxa"/>
            <w:vAlign w:val="bottom"/>
            <w:gridSpan w:val="2"/>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4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496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350,125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360,082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5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136,244</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208,574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208,413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113,432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163,104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218,763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Refundable deposits – current</w:t>
            </w:r>
          </w:p>
        </w:tc>
        <w:tc>
          <w:tcPr>
            <w:tcW w:w="5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18,693</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48,500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25,140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37,852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37,847</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4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643,634</w:t>
            </w:r>
          </w:p>
        </w:tc>
        <w:tc>
          <w:tcPr>
            <w:tcW w:w="160" w:type="dxa"/>
            <w:vAlign w:val="bottom"/>
          </w:tcPr>
          <w:p>
            <w:pPr>
              <w:spacing w:after="0"/>
              <w:rPr>
                <w:sz w:val="19"/>
                <w:szCs w:val="19"/>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2"/>
              </w:rPr>
              <w:t>818,112</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8,550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103,948</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124,478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131,317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10,832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20,197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17,696</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763,414</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971,328</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897,482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44,112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80,768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81,028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5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12,817</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44,201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55,557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85,533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156,550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110,961</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142,462</w:t>
            </w:r>
          </w:p>
        </w:tc>
        <w:tc>
          <w:tcPr>
            <w:tcW w:w="160" w:type="dxa"/>
            <w:vAlign w:val="bottom"/>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281,519</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26,193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32,177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31,210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168,655</w:t>
            </w:r>
          </w:p>
        </w:tc>
        <w:tc>
          <w:tcPr>
            <w:tcW w:w="160" w:type="dxa"/>
            <w:vAlign w:val="bottom"/>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313,696</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Shareholders’ equity</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594,759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657,632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618,726</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&amp; shareholders’ equity</w:t>
            </w:r>
          </w:p>
        </w:tc>
        <w:tc>
          <w:tcPr>
            <w:tcW w:w="4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763,414</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971,328</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897,482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300" w:type="dxa"/>
            <w:vAlign w:val="bottom"/>
            <w:vMerge w:val="restart"/>
          </w:tcPr>
          <w:p>
            <w:pPr>
              <w:jc w:val="right"/>
              <w:ind w:right="3052"/>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Silicon Motion Technology Corporation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5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r>
      <w:tr>
        <w:trPr>
          <w:trHeight w:val="117"/>
        </w:trPr>
        <w:tc>
          <w:tcPr>
            <w:tcW w:w="50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86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700" w:type="dxa"/>
            <w:vAlign w:val="bottom"/>
            <w:tcBorders>
              <w:top w:val="single" w:sz="8" w:color="auto"/>
            </w:tcBorders>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120" w:type="dxa"/>
            <w:vAlign w:val="bottom"/>
          </w:tcPr>
          <w:p>
            <w:pPr>
              <w:spacing w:after="0"/>
              <w:rPr>
                <w:sz w:val="10"/>
                <w:szCs w:val="10"/>
                <w:color w:val="auto"/>
              </w:rPr>
            </w:pPr>
          </w:p>
        </w:tc>
      </w:tr>
      <w:tr>
        <w:trPr>
          <w:trHeight w:val="149"/>
        </w:trPr>
        <w:tc>
          <w:tcPr>
            <w:tcW w:w="5080" w:type="dxa"/>
            <w:vAlign w:val="bottom"/>
          </w:tcPr>
          <w:p>
            <w:pPr>
              <w:spacing w:after="0"/>
              <w:rPr>
                <w:sz w:val="12"/>
                <w:szCs w:val="12"/>
                <w:color w:val="auto"/>
              </w:rPr>
            </w:pPr>
          </w:p>
        </w:tc>
        <w:tc>
          <w:tcPr>
            <w:tcW w:w="4040" w:type="dxa"/>
            <w:vAlign w:val="bottom"/>
            <w:gridSpan w:val="2"/>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64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70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73"/>
        </w:trPr>
        <w:tc>
          <w:tcPr>
            <w:tcW w:w="5080" w:type="dxa"/>
            <w:vAlign w:val="bottom"/>
          </w:tcPr>
          <w:p>
            <w:pPr>
              <w:spacing w:after="0"/>
              <w:rPr>
                <w:sz w:val="15"/>
                <w:szCs w:val="15"/>
                <w:color w:val="auto"/>
              </w:rPr>
            </w:pPr>
          </w:p>
        </w:tc>
        <w:tc>
          <w:tcPr>
            <w:tcW w:w="4040" w:type="dxa"/>
            <w:vAlign w:val="bottom"/>
            <w:gridSpan w:val="2"/>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60,635</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3,886</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5,036</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4,454</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3,015</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8,994</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5,568</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impairment, losses &amp; disposals</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(24,132)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(6,018)</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(66,652)</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68,650</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&amp; equipment</w:t>
            </w:r>
          </w:p>
        </w:tc>
        <w:tc>
          <w:tcPr>
            <w:tcW w:w="4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(9,073)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(11,662)</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120" w:type="dxa"/>
            <w:vAlign w:val="bottom"/>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payments</w:t>
            </w:r>
          </w:p>
        </w:tc>
        <w:tc>
          <w:tcPr>
            <w:tcW w:w="4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(12,199)</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(17,436)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(16,953)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3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(45,696)</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(103,045)</w:t>
            </w:r>
          </w:p>
        </w:tc>
      </w:tr>
      <w:tr>
        <w:trPr>
          <w:trHeight w:val="27"/>
        </w:trPr>
        <w:tc>
          <w:tcPr>
            <w:tcW w:w="50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(12,199)</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(63,132)</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(119,998)</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&amp; restricted cash</w:t>
            </w:r>
          </w:p>
        </w:tc>
        <w:tc>
          <w:tcPr>
            <w:tcW w:w="34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(133,787)</w:t>
            </w:r>
          </w:p>
        </w:tc>
        <w:tc>
          <w:tcPr>
            <w:tcW w:w="120" w:type="dxa"/>
            <w:vAlign w:val="bottom"/>
          </w:tcPr>
          <w:p>
            <w:pPr>
              <w:spacing w:after="0"/>
              <w:rPr>
                <w:sz w:val="19"/>
                <w:szCs w:val="19"/>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changes</w:t>
            </w:r>
          </w:p>
        </w:tc>
        <w:tc>
          <w:tcPr>
            <w:tcW w:w="4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&amp; restricted cash—beginning of period</w:t>
            </w:r>
          </w:p>
        </w:tc>
        <w:tc>
          <w:tcPr>
            <w:tcW w:w="34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369,211</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419,445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415,523</w:t>
            </w:r>
          </w:p>
        </w:tc>
      </w:tr>
      <w:tr>
        <w:trPr>
          <w:trHeight w:val="27"/>
        </w:trPr>
        <w:tc>
          <w:tcPr>
            <w:tcW w:w="50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&amp; restricted cash—end of period</w:t>
            </w:r>
          </w:p>
        </w:tc>
        <w:tc>
          <w:tcPr>
            <w:tcW w:w="3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370,968</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415,523</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281,652</w:t>
            </w:r>
          </w:p>
        </w:tc>
      </w:tr>
      <w:tr>
        <w:trPr>
          <w:trHeight w:val="372"/>
        </w:trPr>
        <w:tc>
          <w:tcPr>
            <w:tcW w:w="5080" w:type="dxa"/>
            <w:vAlign w:val="bottom"/>
          </w:tcPr>
          <w:p>
            <w:pPr>
              <w:spacing w:after="0"/>
              <w:rPr>
                <w:sz w:val="24"/>
                <w:szCs w:val="24"/>
                <w:color w:val="auto"/>
              </w:rPr>
            </w:pPr>
          </w:p>
        </w:tc>
        <w:tc>
          <w:tcPr>
            <w:tcW w:w="3400" w:type="dxa"/>
            <w:vAlign w:val="bottom"/>
          </w:tcPr>
          <w:p>
            <w:pPr>
              <w:jc w:val="right"/>
              <w:ind w:right="2794"/>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Silicon Motion: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We are the global leader in supplying NAND flash controllers for solid state storage devices. We supply more SSD controllers than any other company in the world for servers, PCs and other client devices and are the leading merchant supplier of eMMC and UFS embedded storage controllers used in smartphones, IoT devices and other applications. We also supply customized high-performance hyperscale data center and specialized industrial and automotive SSD solutions. Our customers include most of the NAND flash vendors, storage device module makers and leading OEMs. For further information on Silicon Motion, visit us at </w:t>
      </w:r>
      <w:r>
        <w:rPr>
          <w:rFonts w:ascii="Times New Roman" w:cs="Times New Roman" w:eastAsia="Times New Roman" w:hAnsi="Times New Roman"/>
          <w:sz w:val="18"/>
          <w:szCs w:val="18"/>
          <w:u w:val="single" w:color="auto"/>
          <w:color w:val="auto"/>
        </w:rPr>
        <w:t>www.siliconmotion.com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including without limitation, statements about Silicon Motion’s currently expected second quarter of 2022 and full year 2022 expectations of revenue, gross margin and operating expenses, all of which reflect management’s estimates based on information available at the time of this press release. While Silicon Motion believes these estimates to be meaningful, these amounts could differ materially from actual reported amounts for the second quarter of 2022 and full year 2022. Forward-looking statements also include, without limitation, statements regarding trends in the semiconductor or consumer electronics markets and our future results of operations, financial condition and business prospects. In some cases, you can identify forward-looking statements by terminology such as “may,” “will,” “should,” “expect,” “intend,” “plan,” “anticipate,” “believe,” “estimate,” “predict,” “potential,” “continue,” or the negative of these terms or other comparable terminology. Although such statements are based on our own information and information from other sources we believe to be reliable, you should not place undue reliance on them. These statements involve risks and uncertainties, and actual market trends or our actual results of operations, financial condition or business prospects may differ materially from those expressed or implied in these forward-looking statements for a variety of reasons. Potential risks and uncertainties include, but are not limited to the unpredictable volume and timing of customer orders, which are not fixed by contract but vary on a purchase order basis; the loss of one or more key customers or the significant reduction, postponement, rescheduling or cancellation of orders from one or more customers; general economic conditions or conditions in the semiconductor or consumer electronics markets; the effects on our business and our customer’s business taking into account the ongoing US-China tariffs and trade disputes together with the uncertainties associated with the ongoing global outbreak of COVID-19, including, but not limited to, the emergence of variants to the original COVID-19 strain such as the Delta, Omicron and BA.2 variants; the ongoing tensions between Taiwan and China including enhanced military activities; decreases in the overall average selling prices of our products; changes in the relative sales mix of our products; changes in our cost of finished goods; supply chain disruptions that have affected us and our industry as well as other industries on a global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basis; the payment, or non-payment, of cash dividends in the future at the discretion of our board of directors and any announced planned increases in such dividends; changes in our cost of finished goods; the availability, pricing, and timeliness of delivery of other components and raw materials used in the products we sell given the current raw material supply shortages being experienced in our industry; our customers’ sales outlook, purchasing patterns, and inventory adjustments based on consumer demands and general economic conditions; any potential impairment charges that may be incurred related to businesses previously acquired or divested in the future; our ability to successfully develop, introduce, and sell new or enhanced products in a timely manner; and the timing of new product announcements or introductions by us or by our competitors. For additional discussion of these risks and uncertainties and other factors, please see the documents we file from time to time with the Securities and Exchange Commission, including our Annual Report on Form 20-F filed on April 25, 2022. We assume no obligation to update any forward-looking statements, which apply only as of the date of this press release.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Investor Contact:</w:t>
            </w: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Investor Contact:</w:t>
            </w:r>
          </w:p>
        </w:tc>
      </w:tr>
      <w:tr>
        <w:trPr>
          <w:trHeight w:val="21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Christopher Chaney</w:t>
            </w: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Selina Hsieh</w:t>
            </w:r>
          </w:p>
        </w:tc>
      </w:tr>
      <w:tr>
        <w:trPr>
          <w:trHeight w:val="21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Investor Relations &amp; Strategy</w:t>
            </w: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Investor Relations</w:t>
            </w:r>
          </w:p>
        </w:tc>
      </w:tr>
      <w:tr>
        <w:trPr>
          <w:trHeight w:val="234"/>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cchaney@siliconmotion.com</w:t>
            </w: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E-mail: ir@siliconmotion.com</w:t>
            </w:r>
          </w:p>
        </w:tc>
      </w:tr>
      <w:tr>
        <w:trPr>
          <w:trHeight w:val="414"/>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Media Contact:</w:t>
            </w:r>
          </w:p>
        </w:tc>
        <w:tc>
          <w:tcPr>
            <w:tcW w:w="2900" w:type="dxa"/>
            <w:vAlign w:val="bottom"/>
          </w:tcPr>
          <w:p>
            <w:pPr>
              <w:spacing w:after="0"/>
              <w:rPr>
                <w:sz w:val="24"/>
                <w:szCs w:val="24"/>
                <w:color w:val="auto"/>
              </w:rPr>
            </w:pPr>
          </w:p>
        </w:tc>
      </w:tr>
      <w:tr>
        <w:trPr>
          <w:trHeight w:val="21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Sara Hsu</w:t>
            </w:r>
          </w:p>
        </w:tc>
        <w:tc>
          <w:tcPr>
            <w:tcW w:w="2900" w:type="dxa"/>
            <w:vAlign w:val="bottom"/>
          </w:tcPr>
          <w:p>
            <w:pPr>
              <w:spacing w:after="0"/>
              <w:rPr>
                <w:sz w:val="18"/>
                <w:szCs w:val="18"/>
                <w:color w:val="auto"/>
              </w:rPr>
            </w:pPr>
          </w:p>
        </w:tc>
      </w:tr>
      <w:tr>
        <w:trPr>
          <w:trHeight w:val="21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Project Manager</w:t>
            </w:r>
          </w:p>
        </w:tc>
        <w:tc>
          <w:tcPr>
            <w:tcW w:w="2900" w:type="dxa"/>
            <w:vAlign w:val="bottom"/>
          </w:tcPr>
          <w:p>
            <w:pPr>
              <w:spacing w:after="0"/>
              <w:rPr>
                <w:sz w:val="18"/>
                <w:szCs w:val="18"/>
                <w:color w:val="auto"/>
              </w:rPr>
            </w:pPr>
          </w:p>
        </w:tc>
      </w:tr>
      <w:tr>
        <w:trPr>
          <w:trHeight w:val="194"/>
        </w:trPr>
        <w:tc>
          <w:tcPr>
            <w:tcW w:w="35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E-mail: sara.hsu@siliconmotion.com</w:t>
            </w:r>
          </w:p>
        </w:tc>
        <w:tc>
          <w:tcPr>
            <w:tcW w:w="2900" w:type="dxa"/>
            <w:vAlign w:val="bottom"/>
          </w:tcPr>
          <w:p>
            <w:pPr>
              <w:spacing w:after="0"/>
              <w:rPr>
                <w:sz w:val="16"/>
                <w:szCs w:val="16"/>
                <w:color w:val="auto"/>
              </w:rPr>
            </w:pPr>
          </w:p>
        </w:tc>
      </w:tr>
      <w:tr>
        <w:trPr>
          <w:trHeight w:val="385"/>
        </w:trPr>
        <w:tc>
          <w:tcPr>
            <w:tcW w:w="580" w:type="dxa"/>
            <w:vAlign w:val="bottom"/>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 w:lineRule="exact"/>
        <w:rPr>
          <w:sz w:val="20"/>
          <w:szCs w:val="20"/>
          <w:color w:val="auto"/>
        </w:rPr>
      </w:pP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2022-05-05T08:45:06Z</dcterms:created>
  <dcterms:modified xsi:type="dcterms:W3CDTF">2022-05-05T08:45:06Z</dcterms:modified>
</cp:coreProperties>
</file>