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9638d6k.htm"/>
      <w:bookmarkStart w:id="1" w:name="ksd149638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Pursuant to Rule 13a-16 or 15d-16</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Commission File Number: 000-51380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Silicon Motion Technology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Flat C, 19/F, Wing Cheong Commercial Building </w:t>
      </w:r>
    </w:p>
    <w:p>
      <w:pPr>
        <w:pStyle w:val="TextBody"/>
        <w:bidi w:val="0"/>
        <w:spacing w:before="0" w:after="0"/>
        <w:jc w:val="center"/>
        <w:rPr>
          <w:rFonts w:ascii="Times New Roman" w:hAnsi="Times New Roman"/>
          <w:b/>
          <w:sz w:val="20"/>
        </w:rPr>
      </w:pPr>
      <w:r>
        <w:rPr>
          <w:rFonts w:ascii="Times New Roman" w:hAnsi="Times New Roman"/>
          <w:b/>
          <w:sz w:val="20"/>
        </w:rPr>
        <w:t xml:space="preserve">Nos 19-25 Jervois Street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12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This Form 6-K is hereby incorporated by reference into the Company’s Registration Statement on Form S-8 filed with the U.S. Securities and Exchange Commission on June 4, 2025 (Registration No. 333-287771).</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Closing of Notes Offering </w:t>
      </w:r>
    </w:p>
    <w:p>
      <w:pPr>
        <w:pStyle w:val="TextBody"/>
        <w:bidi w:val="0"/>
        <w:spacing w:before="120" w:after="0"/>
        <w:jc w:val="left"/>
        <w:rPr>
          <w:rFonts w:ascii="Times New Roman" w:hAnsi="Times New Roman"/>
          <w:sz w:val="20"/>
        </w:rPr>
      </w:pPr>
      <w:r>
        <w:rPr>
          <w:rFonts w:ascii="Times New Roman" w:hAnsi="Times New Roman"/>
          <w:sz w:val="20"/>
        </w:rPr>
        <w:t xml:space="preserve">On August 13, 2026, Silicon Motion Technology Corporation, a Cayman Islands exempted company (the “Company”), entered into an Indenture (the “Indenture”) with U.S. Bank Trust Company, National Association, as trustee, pursuant to which the Company issued $1,150,000,000 aggregate principal amount of its 0.00% Convertible Senior Notes due 2031 (the “Notes”), including the exercise in full of the option granted to the initial purchasers to purchase an additional $150,000,000 aggregate principal amount of Notes. The Notes are senior, unsecured obligations of the Company. The Notes do not bear regular interest and the principal amount of the Notes will not accrete. The Notes will mature on August 15, 2031, unless earlier repurchased, redeemed or converted. Prior to the close of business on the business day immediately preceding May 15, 2031, holders of the Notes will have the right to convert their Notes upon the satisfaction of specified conditions and during certain periods. On or after May 15, 2031 until the close of business on the second scheduled trading day immediately preceding the maturity date, the Notes will be convertible at the option of the holders at any time regardless of these conditions. The Company will settle each conversion by paying the principal amount (or, if less, the conversion value) of the Notes in cash, and any conversion value in excess of the principal amount will be settled in cash, American depositary shares of the Company (the “ADSs”), each representing four ordinary shares of the Company, par value $0.01 per share, or any combination thereof, at the Company’s election. The Company may redeem the Notes for cash at its option, in whole but not in part, in connection with certain tax-related events. In addition, the Notes will be redeemable, in whole or in part (subject to certain limitations), for cash, at the Company’s option, on or after August 20, 2029 if the last reported sale price of the ADSs equals or exceeds 130% of the conversion price for a specified period of time and certain other conditions described in the Indenture are satisfied. The Notes are subject to repurchase at the option of holders upon a fundamental change or on August 15, 2029. The Notes contain customary covenants and events of default. The Notes were issued in a private offering to persons reasonably believed to be “qualified institutional buyers” pursuant to Rule 144A under the Securities Act of 1933, as amended (the “Securities Act”), and the Company intends to use the net proceeds from the offering for general corporate purposes and the repayment of outstanding borrowings under the Company’s credit agreement, dated January 14, 2026, with CTBC Bank Co., Ltd. </w:t>
      </w:r>
    </w:p>
    <w:p>
      <w:pPr>
        <w:pStyle w:val="TextBody"/>
        <w:bidi w:val="0"/>
        <w:spacing w:before="240" w:after="0"/>
        <w:jc w:val="left"/>
        <w:rPr>
          <w:rFonts w:ascii="Times New Roman" w:hAnsi="Times New Roman"/>
          <w:sz w:val="20"/>
        </w:rPr>
      </w:pPr>
      <w:r>
        <w:rPr>
          <w:rFonts w:ascii="Times New Roman" w:hAnsi="Times New Roman"/>
          <w:sz w:val="20"/>
        </w:rPr>
        <w:t xml:space="preserve">The description of the Indenture and the Notes contained herein is not intended to be complete and is qualified in its entirety by reference to the full text of the Indenture and the form of Note, which are furnished hereto as Exhibits 99.1 and 99.2, respectively,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On August 13, 2026, the Company issued a press release announcing the closing of the Notes offering. A copy of the press release is furnished as Exhibit 99.3 to this Report on Form 6-K (this “Report”).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0"/>
        <w:gridCol w:w="315"/>
        <w:gridCol w:w="9060"/>
      </w:tblGrid>
      <w:tr>
        <w:trPr/>
        <w:tc>
          <w:tcPr>
            <w:tcW w:w="830" w:type="dxa"/>
            <w:tcBorders/>
            <w:vAlign w:val="center"/>
          </w:tcPr>
          <w:p>
            <w:pPr>
              <w:pStyle w:val="TableContents"/>
              <w:bidi w:val="0"/>
              <w:spacing w:before="0" w:after="283"/>
              <w:jc w:val="left"/>
              <w:rPr>
                <w:sz w:val="4"/>
                <w:szCs w:val="4"/>
              </w:rPr>
            </w:pPr>
            <w:r>
              <w:rPr>
                <w:sz w:val="4"/>
                <w:szCs w:val="4"/>
              </w:rPr>
            </w:r>
          </w:p>
        </w:tc>
        <w:tc>
          <w:tcPr>
            <w:tcW w:w="315" w:type="dxa"/>
            <w:tcBorders/>
            <w:vAlign w:val="bottom"/>
          </w:tcPr>
          <w:p>
            <w:pPr>
              <w:pStyle w:val="TableContents"/>
              <w:bidi w:val="0"/>
              <w:spacing w:before="0" w:after="283"/>
              <w:jc w:val="left"/>
              <w:rPr>
                <w:sz w:val="4"/>
                <w:szCs w:val="4"/>
              </w:rPr>
            </w:pPr>
            <w:r>
              <w:rPr>
                <w:sz w:val="4"/>
                <w:szCs w:val="4"/>
              </w:rPr>
            </w:r>
          </w:p>
        </w:tc>
        <w:tc>
          <w:tcPr>
            <w:tcW w:w="9060" w:type="dxa"/>
            <w:tcBorders/>
            <w:vAlign w:val="center"/>
          </w:tcPr>
          <w:p>
            <w:pPr>
              <w:pStyle w:val="TableContents"/>
              <w:bidi w:val="0"/>
              <w:spacing w:before="0" w:after="283"/>
              <w:jc w:val="left"/>
              <w:rPr>
                <w:sz w:val="4"/>
                <w:szCs w:val="4"/>
              </w:rPr>
            </w:pPr>
            <w:r>
              <w:rPr>
                <w:sz w:val="4"/>
                <w:szCs w:val="4"/>
              </w:rPr>
            </w:r>
          </w:p>
        </w:tc>
      </w:tr>
      <w:tr>
        <w:trPr/>
        <w:tc>
          <w:tcPr>
            <w:tcW w:w="83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Exhibit No.</w:t>
            </w:r>
          </w:p>
        </w:tc>
        <w:tc>
          <w:tcPr>
            <w:tcW w:w="315" w:type="dxa"/>
            <w:tcBorders/>
            <w:vAlign w:val="bottom"/>
          </w:tcPr>
          <w:p>
            <w:pPr>
              <w:pStyle w:val="TableContents"/>
              <w:bidi w:val="0"/>
              <w:spacing w:before="0" w:after="283"/>
              <w:jc w:val="left"/>
              <w:rPr/>
            </w:pPr>
            <w:r>
              <w:rPr/>
              <w:t>  </w:t>
            </w:r>
          </w:p>
        </w:tc>
        <w:tc>
          <w:tcPr>
            <w:tcW w:w="9060"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Description</w:t>
            </w:r>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375" w:type="dxa"/>
            <w:gridSpan w:val="2"/>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283"/>
              <w:jc w:val="left"/>
              <w:rPr/>
            </w:pPr>
            <w:r>
              <w:rPr/>
              <w:t>99.1</w:t>
            </w:r>
          </w:p>
        </w:tc>
        <w:tc>
          <w:tcPr>
            <w:tcW w:w="315" w:type="dxa"/>
            <w:tcBorders/>
            <w:vAlign w:val="bottom"/>
          </w:tcPr>
          <w:p>
            <w:pPr>
              <w:pStyle w:val="TableContents"/>
              <w:bidi w:val="0"/>
              <w:spacing w:before="0" w:after="283"/>
              <w:jc w:val="left"/>
              <w:rPr/>
            </w:pPr>
            <w:r>
              <w:rPr/>
              <w:t>  </w:t>
            </w:r>
          </w:p>
        </w:tc>
        <w:tc>
          <w:tcPr>
            <w:tcW w:w="9060" w:type="dxa"/>
            <w:tcBorders/>
          </w:tcPr>
          <w:p>
            <w:pPr>
              <w:pStyle w:val="TableContents"/>
              <w:bidi w:val="0"/>
              <w:spacing w:before="0" w:after="283"/>
              <w:jc w:val="left"/>
              <w:rPr/>
            </w:pPr>
            <w:hyperlink w:anchor="d149638dex991.htm">
              <w:r>
                <w:rPr>
                  <w:rStyle w:val="InternetLink"/>
                </w:rPr>
                <w:t xml:space="preserve">Indenture, dated as of August  13, 2026, between Silicon Motion Technology Corporation and U.S. Bank Trust Company, National Association, as trustee, relating to the 0.00% Convertible Senior Notes due 2031. </w:t>
              </w:r>
            </w:hyperlink>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375" w:type="dxa"/>
            <w:gridSpan w:val="2"/>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283"/>
              <w:jc w:val="left"/>
              <w:rPr/>
            </w:pPr>
            <w:r>
              <w:rPr/>
              <w:t>99.2</w:t>
            </w:r>
          </w:p>
        </w:tc>
        <w:tc>
          <w:tcPr>
            <w:tcW w:w="315" w:type="dxa"/>
            <w:tcBorders/>
            <w:vAlign w:val="bottom"/>
          </w:tcPr>
          <w:p>
            <w:pPr>
              <w:pStyle w:val="TableContents"/>
              <w:bidi w:val="0"/>
              <w:spacing w:before="0" w:after="283"/>
              <w:jc w:val="left"/>
              <w:rPr/>
            </w:pPr>
            <w:r>
              <w:rPr/>
              <w:t>  </w:t>
            </w:r>
          </w:p>
        </w:tc>
        <w:tc>
          <w:tcPr>
            <w:tcW w:w="9060" w:type="dxa"/>
            <w:tcBorders/>
          </w:tcPr>
          <w:p>
            <w:pPr>
              <w:pStyle w:val="TableContents"/>
              <w:bidi w:val="0"/>
              <w:spacing w:before="0" w:after="283"/>
              <w:jc w:val="left"/>
              <w:rPr/>
            </w:pPr>
            <w:hyperlink w:anchor="d149638dex991.htm">
              <w:r>
                <w:rPr>
                  <w:rStyle w:val="InternetLink"/>
                </w:rPr>
                <w:t xml:space="preserve">Form of certificate representing the 0.00% Convertible Senior Notes due 2031 (included as Exhibit A to Exhibit 99.1). </w:t>
              </w:r>
            </w:hyperlink>
          </w:p>
        </w:tc>
      </w:tr>
      <w:tr>
        <w:trPr>
          <w:trHeight w:val="120" w:hRule="atLeast"/>
        </w:trPr>
        <w:tc>
          <w:tcPr>
            <w:tcW w:w="830" w:type="dxa"/>
            <w:tcBorders/>
            <w:vAlign w:val="center"/>
          </w:tcPr>
          <w:p>
            <w:pPr>
              <w:pStyle w:val="TableContents"/>
              <w:bidi w:val="0"/>
              <w:spacing w:before="0" w:after="283"/>
              <w:jc w:val="left"/>
              <w:rPr>
                <w:sz w:val="4"/>
                <w:szCs w:val="4"/>
              </w:rPr>
            </w:pPr>
            <w:r>
              <w:rPr>
                <w:sz w:val="4"/>
                <w:szCs w:val="4"/>
              </w:rPr>
            </w:r>
          </w:p>
        </w:tc>
        <w:tc>
          <w:tcPr>
            <w:tcW w:w="9375" w:type="dxa"/>
            <w:gridSpan w:val="2"/>
            <w:tcBorders/>
            <w:vAlign w:val="center"/>
          </w:tcPr>
          <w:p>
            <w:pPr>
              <w:pStyle w:val="TableContents"/>
              <w:bidi w:val="0"/>
              <w:spacing w:before="0" w:after="283"/>
              <w:jc w:val="left"/>
              <w:rPr>
                <w:sz w:val="4"/>
                <w:szCs w:val="4"/>
              </w:rPr>
            </w:pPr>
            <w:r>
              <w:rPr>
                <w:sz w:val="4"/>
                <w:szCs w:val="4"/>
              </w:rPr>
            </w:r>
          </w:p>
        </w:tc>
      </w:tr>
      <w:tr>
        <w:trPr/>
        <w:tc>
          <w:tcPr>
            <w:tcW w:w="830" w:type="dxa"/>
            <w:tcBorders/>
          </w:tcPr>
          <w:p>
            <w:pPr>
              <w:pStyle w:val="TableContents"/>
              <w:bidi w:val="0"/>
              <w:spacing w:before="0" w:after="283"/>
              <w:jc w:val="left"/>
              <w:rPr/>
            </w:pPr>
            <w:r>
              <w:rPr/>
              <w:t>99.3</w:t>
            </w:r>
          </w:p>
        </w:tc>
        <w:tc>
          <w:tcPr>
            <w:tcW w:w="315" w:type="dxa"/>
            <w:tcBorders/>
            <w:vAlign w:val="bottom"/>
          </w:tcPr>
          <w:p>
            <w:pPr>
              <w:pStyle w:val="TableContents"/>
              <w:bidi w:val="0"/>
              <w:spacing w:before="0" w:after="283"/>
              <w:jc w:val="left"/>
              <w:rPr/>
            </w:pPr>
            <w:r>
              <w:rPr/>
              <w:t>  </w:t>
            </w:r>
          </w:p>
        </w:tc>
        <w:tc>
          <w:tcPr>
            <w:tcW w:w="9060" w:type="dxa"/>
            <w:tcBorders/>
          </w:tcPr>
          <w:p>
            <w:pPr>
              <w:pStyle w:val="TableContents"/>
              <w:bidi w:val="0"/>
              <w:spacing w:before="0" w:after="283"/>
              <w:jc w:val="left"/>
              <w:rPr/>
            </w:pPr>
            <w:hyperlink w:anchor="d149638dex993.htm">
              <w:r>
                <w:rPr>
                  <w:rStyle w:val="InternetLink"/>
                </w:rPr>
                <w:t xml:space="preserve">Press Release issued by the Company on August 13, 2026 announcing the closing of the Notes offering. </w:t>
              </w:r>
            </w:hyperlink>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Report contains “forward-looking statements” within the meaning of Section 27A of the Securities Act and Section 21E of the Securities Exchange Act of 1934, as amended, that are not historical in nature and typically address future or anticipated events, expectations or beliefs. Forward-looking statements include, without limitation, statements regarding the anticipated use of net proceeds from the offering of the Notes. These forward-looking statements can often, but not always, be identified by phrases such as “believes,” “expects,” “anticipates,” “foresees,” “forecasts,” “estimates,” “plans,” “intends,” “will,” “may,” “should,” “projects,” “might,” “could,” or other words or phrases of similar import.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Similarly, statements that describe the Company’s business strategy, outlook, objectives, plans, intentions or goals also are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believes there is a reasonable basis for the forward-looking statements in this Report, such statements involve certain risks and uncertainties, many of which are beyond the Company’s control, that could cause actual results to differ materially from those indicated in, or implied by, such forward-looking statements. Such risks and uncertainties include, but are not limited to: (i) market conditions, including market interest rates; (ii) the trading price and volatility of the Company’s ADSs; and (iii) risks relating to the Company’s business, including those described in the Company’s most recent Annual Report on Form 20-F and the other reports that the Company files or furnishes from time to time with the U.S. Securities and Exchange Commission.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319"/>
        <w:gridCol w:w="111"/>
        <w:gridCol w:w="385"/>
        <w:gridCol w:w="111"/>
        <w:gridCol w:w="662"/>
        <w:gridCol w:w="111"/>
        <w:gridCol w:w="4506"/>
      </w:tblGrid>
      <w:tr>
        <w:trPr/>
        <w:tc>
          <w:tcPr>
            <w:tcW w:w="4319"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4506" w:type="dxa"/>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5279" w:type="dxa"/>
            <w:gridSpan w:val="3"/>
            <w:tcBorders/>
          </w:tcPr>
          <w:p>
            <w:pPr>
              <w:pStyle w:val="TableContents"/>
              <w:bidi w:val="0"/>
              <w:spacing w:before="0" w:after="283"/>
              <w:jc w:val="left"/>
              <w:rPr>
                <w:b/>
              </w:rPr>
            </w:pPr>
            <w:r>
              <w:rPr>
                <w:b/>
              </w:rPr>
              <w:t>SILICON MOTION TECHNOLOGY CORPORATION</w:t>
            </w:r>
          </w:p>
        </w:tc>
      </w:tr>
      <w:tr>
        <w:trPr>
          <w:trHeight w:val="240" w:hRule="atLeast"/>
        </w:trPr>
        <w:tc>
          <w:tcPr>
            <w:tcW w:w="4319" w:type="dxa"/>
            <w:tcBorders/>
            <w:vAlign w:val="center"/>
          </w:tcPr>
          <w:p>
            <w:pPr>
              <w:pStyle w:val="TableContents"/>
              <w:bidi w:val="0"/>
              <w:spacing w:before="0" w:after="283"/>
              <w:jc w:val="left"/>
              <w:rPr>
                <w:sz w:val="4"/>
                <w:szCs w:val="4"/>
              </w:rPr>
            </w:pPr>
            <w:r>
              <w:rPr>
                <w:sz w:val="4"/>
                <w:szCs w:val="4"/>
              </w:rPr>
            </w:r>
          </w:p>
        </w:tc>
        <w:tc>
          <w:tcPr>
            <w:tcW w:w="49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617" w:type="dxa"/>
            <w:gridSpan w:val="2"/>
            <w:tcBorders/>
            <w:vAlign w:val="center"/>
          </w:tcPr>
          <w:p>
            <w:pPr>
              <w:pStyle w:val="TableContents"/>
              <w:bidi w:val="0"/>
              <w:spacing w:before="0" w:after="283"/>
              <w:jc w:val="left"/>
              <w:rPr>
                <w:sz w:val="4"/>
                <w:szCs w:val="4"/>
              </w:rPr>
            </w:pPr>
            <w:r>
              <w:rPr>
                <w:sz w:val="4"/>
                <w:szCs w:val="4"/>
              </w:rPr>
            </w:r>
          </w:p>
        </w:tc>
      </w:tr>
      <w:tr>
        <w:trPr/>
        <w:tc>
          <w:tcPr>
            <w:tcW w:w="4319" w:type="dxa"/>
            <w:tcBorders/>
          </w:tcPr>
          <w:p>
            <w:pPr>
              <w:pStyle w:val="TableContents"/>
              <w:bidi w:val="0"/>
              <w:spacing w:before="0" w:after="283"/>
              <w:jc w:val="left"/>
              <w:rPr/>
            </w:pPr>
            <w:r>
              <w:rPr/>
              <w:t>Date: August 13, 2026</w:t>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tcPr>
          <w:p>
            <w:pPr>
              <w:pStyle w:val="TableContents"/>
              <w:bidi w:val="0"/>
              <w:spacing w:before="0" w:after="283"/>
              <w:jc w:val="left"/>
              <w:rPr/>
            </w:pPr>
            <w:r>
              <w:rPr/>
              <w:t>By:</w:t>
            </w:r>
          </w:p>
        </w:tc>
        <w:tc>
          <w:tcPr>
            <w:tcW w:w="111" w:type="dxa"/>
            <w:tcBorders/>
            <w:vAlign w:val="bottom"/>
          </w:tcPr>
          <w:p>
            <w:pPr>
              <w:pStyle w:val="TableContents"/>
              <w:bidi w:val="0"/>
              <w:spacing w:before="0" w:after="283"/>
              <w:jc w:val="left"/>
              <w:rPr/>
            </w:pPr>
            <w:r>
              <w:rPr/>
              <w:t> </w:t>
            </w:r>
          </w:p>
        </w:tc>
        <w:tc>
          <w:tcPr>
            <w:tcW w:w="4506"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Name:</w:t>
            </w:r>
          </w:p>
        </w:tc>
        <w:tc>
          <w:tcPr>
            <w:tcW w:w="111" w:type="dxa"/>
            <w:tcBorders/>
            <w:vAlign w:val="bottom"/>
          </w:tcPr>
          <w:p>
            <w:pPr>
              <w:pStyle w:val="TableContents"/>
              <w:bidi w:val="0"/>
              <w:spacing w:before="0" w:after="283"/>
              <w:jc w:val="left"/>
              <w:rPr/>
            </w:pPr>
            <w:r>
              <w:rPr/>
              <w:t> </w:t>
            </w:r>
          </w:p>
        </w:tc>
        <w:tc>
          <w:tcPr>
            <w:tcW w:w="4506" w:type="dxa"/>
            <w:tcBorders/>
            <w:vAlign w:val="bottom"/>
          </w:tcPr>
          <w:p>
            <w:pPr>
              <w:pStyle w:val="TableContents"/>
              <w:bidi w:val="0"/>
              <w:spacing w:before="0" w:after="283"/>
              <w:jc w:val="left"/>
              <w:rPr/>
            </w:pPr>
            <w:r>
              <w:rPr/>
              <w:t>Jason Tsai</w:t>
            </w:r>
          </w:p>
        </w:tc>
      </w:tr>
      <w:tr>
        <w:trPr/>
        <w:tc>
          <w:tcPr>
            <w:tcW w:w="4319"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385" w:type="dxa"/>
            <w:tcBorders/>
            <w:vAlign w:val="bottom"/>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left"/>
              <w:rPr/>
            </w:pPr>
            <w:r>
              <w:rPr/>
              <w:t>Title:</w:t>
            </w:r>
          </w:p>
        </w:tc>
        <w:tc>
          <w:tcPr>
            <w:tcW w:w="111" w:type="dxa"/>
            <w:tcBorders/>
            <w:vAlign w:val="bottom"/>
          </w:tcPr>
          <w:p>
            <w:pPr>
              <w:pStyle w:val="TableContents"/>
              <w:bidi w:val="0"/>
              <w:spacing w:before="0" w:after="283"/>
              <w:jc w:val="left"/>
              <w:rPr/>
            </w:pPr>
            <w:r>
              <w:rPr/>
              <w:t> </w:t>
            </w:r>
          </w:p>
        </w:tc>
        <w:tc>
          <w:tcPr>
            <w:tcW w:w="4506" w:type="dxa"/>
            <w:tcBorders/>
            <w:vAlign w:val="bottom"/>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sz w:val="20"/>
        </w:rPr>
      </w:pPr>
      <w:bookmarkStart w:id="2" w:name="d149638dex991.htm"/>
      <w:bookmarkStart w:id="3" w:name="ksd149638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240" w:after="0"/>
        <w:jc w:val="center"/>
        <w:rPr>
          <w:rFonts w:ascii="Times New Roman" w:hAnsi="Times New Roman"/>
          <w:sz w:val="20"/>
        </w:rPr>
      </w:pPr>
      <w:r>
        <w:rPr>
          <w:rFonts w:ascii="Times New Roman" w:hAnsi="Times New Roman"/>
          <w:sz w:val="20"/>
        </w:rPr>
        <w:t xml:space="preserve">as Trustee </w:t>
      </w:r>
    </w:p>
    <w:p>
      <w:pPr>
        <w:pStyle w:val="TextBody"/>
        <w:bidi w:val="0"/>
        <w:spacing w:before="240" w:after="0"/>
        <w:jc w:val="center"/>
        <w:rPr>
          <w:rFonts w:ascii="Times New Roman" w:hAnsi="Times New Roman"/>
          <w:sz w:val="20"/>
        </w:rPr>
      </w:pPr>
      <w:r>
        <w:rPr>
          <w:rFonts w:ascii="Times New Roman" w:hAnsi="Times New Roman"/>
          <w:sz w:val="20"/>
        </w:rPr>
        <w:t xml:space="preserve">INDENTURE </w:t>
      </w:r>
    </w:p>
    <w:p>
      <w:pPr>
        <w:pStyle w:val="TextBody"/>
        <w:bidi w:val="0"/>
        <w:spacing w:before="240" w:after="0"/>
        <w:jc w:val="center"/>
        <w:rPr>
          <w:rFonts w:ascii="Times New Roman" w:hAnsi="Times New Roman"/>
          <w:sz w:val="20"/>
        </w:rPr>
      </w:pPr>
      <w:r>
        <w:rPr>
          <w:rFonts w:ascii="Times New Roman" w:hAnsi="Times New Roman"/>
          <w:sz w:val="20"/>
        </w:rPr>
        <w:t xml:space="preserve">Dated as of August 13, 2026 </w:t>
      </w:r>
    </w:p>
    <w:p>
      <w:pPr>
        <w:pStyle w:val="TextBody"/>
        <w:bidi w:val="0"/>
        <w:spacing w:before="240" w:after="0"/>
        <w:jc w:val="center"/>
        <w:rPr>
          <w:rFonts w:ascii="Times New Roman" w:hAnsi="Times New Roman"/>
          <w:sz w:val="20"/>
        </w:rPr>
      </w:pPr>
      <w:r>
        <w:rPr>
          <w:rFonts w:ascii="Times New Roman" w:hAnsi="Times New Roman"/>
          <w:sz w:val="20"/>
        </w:rPr>
        <w:t xml:space="preserve">0.00% Convertible Senior Notes due 2031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67"/>
        <w:gridCol w:w="128"/>
        <w:gridCol w:w="7817"/>
        <w:gridCol w:w="178"/>
        <w:gridCol w:w="102"/>
        <w:gridCol w:w="449"/>
        <w:gridCol w:w="64"/>
      </w:tblGrid>
      <w:tr>
        <w:trPr/>
        <w:tc>
          <w:tcPr>
            <w:tcW w:w="1467"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7817" w:type="dxa"/>
            <w:tcBorders/>
            <w:vAlign w:val="center"/>
          </w:tcPr>
          <w:p>
            <w:pPr>
              <w:pStyle w:val="TableContents"/>
              <w:bidi w:val="0"/>
              <w:spacing w:before="0" w:after="283"/>
              <w:jc w:val="left"/>
              <w:rPr>
                <w:sz w:val="4"/>
                <w:szCs w:val="4"/>
              </w:rPr>
            </w:pPr>
            <w:r>
              <w:rPr>
                <w:sz w:val="4"/>
                <w:szCs w:val="4"/>
              </w:rPr>
            </w:r>
          </w:p>
        </w:tc>
        <w:tc>
          <w:tcPr>
            <w:tcW w:w="178" w:type="dxa"/>
            <w:tcBorders/>
            <w:vAlign w:val="bottom"/>
          </w:tcPr>
          <w:p>
            <w:pPr>
              <w:pStyle w:val="TableContents"/>
              <w:bidi w:val="0"/>
              <w:spacing w:before="0" w:after="283"/>
              <w:jc w:val="left"/>
              <w:rPr>
                <w:sz w:val="4"/>
                <w:szCs w:val="4"/>
              </w:rPr>
            </w:pPr>
            <w:r>
              <w:rPr>
                <w:sz w:val="4"/>
                <w:szCs w:val="4"/>
              </w:rPr>
            </w:r>
          </w:p>
        </w:tc>
        <w:tc>
          <w:tcPr>
            <w:tcW w:w="10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412" w:type="dxa"/>
            <w:gridSpan w:val="3"/>
            <w:tcBorders/>
            <w:vAlign w:val="bottom"/>
          </w:tcPr>
          <w:p>
            <w:pPr>
              <w:pStyle w:val="TableContents"/>
              <w:bidi w:val="0"/>
              <w:spacing w:before="0" w:after="283"/>
              <w:jc w:val="left"/>
              <w:rPr/>
            </w:pPr>
            <w:r>
              <w:rPr/>
              <w:t> </w:t>
            </w:r>
          </w:p>
        </w:tc>
        <w:tc>
          <w:tcPr>
            <w:tcW w:w="178" w:type="dxa"/>
            <w:tcBorders/>
            <w:vAlign w:val="bottom"/>
          </w:tcPr>
          <w:p>
            <w:pPr>
              <w:pStyle w:val="TableContents"/>
              <w:bidi w:val="0"/>
              <w:spacing w:before="0" w:after="283"/>
              <w:jc w:val="left"/>
              <w:rPr/>
            </w:pPr>
            <w:r>
              <w:rPr/>
              <w:t>  </w:t>
            </w:r>
          </w:p>
        </w:tc>
        <w:tc>
          <w:tcPr>
            <w:tcW w:w="551" w:type="dxa"/>
            <w:gridSpan w:val="2"/>
            <w:tcBorders>
              <w:bottom w:val="single" w:sz="8" w:space="0" w:color="000000"/>
            </w:tcBorders>
            <w:tcMar>
              <w:bottom w:w="28" w:type="dxa"/>
            </w:tcMar>
            <w:vAlign w:val="bottom"/>
          </w:tcPr>
          <w:p>
            <w:pPr>
              <w:pStyle w:val="TableContents"/>
              <w:bidi w:val="0"/>
              <w:spacing w:before="0" w:after="283"/>
              <w:jc w:val="center"/>
              <w:rPr/>
            </w:pPr>
            <w:r>
              <w:rPr/>
              <w:t>P</w:t>
            </w:r>
            <w:r>
              <w:rPr>
                <w:sz w:val="20"/>
              </w:rPr>
              <w:t>AGE</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1</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D</w:t>
            </w:r>
            <w:r>
              <w:rPr>
                <w:sz w:val="20"/>
              </w:rPr>
              <w:t>EFINITIONS</w:t>
            </w:r>
          </w:p>
        </w:tc>
        <w:tc>
          <w:tcPr>
            <w:tcW w:w="64" w:type="dxa"/>
            <w:tcBorders/>
          </w:tcPr>
          <w:p>
            <w:pPr>
              <w:pStyle w:val="TableContents"/>
              <w:bidi w:val="0"/>
              <w:spacing w:before="0" w:after="0"/>
              <w:jc w:val="left"/>
              <w:rPr/>
            </w:pPr>
            <w:r>
              <w:rPr/>
              <w:t> </w:t>
            </w:r>
          </w:p>
        </w:tc>
      </w:tr>
      <w:tr>
        <w:trPr>
          <w:trHeight w:val="120" w:hRule="atLeast"/>
        </w:trPr>
        <w:tc>
          <w:tcPr>
            <w:tcW w:w="1467" w:type="dxa"/>
            <w:tcBorders/>
            <w:vAlign w:val="center"/>
          </w:tcPr>
          <w:p>
            <w:pPr>
              <w:pStyle w:val="TableContents"/>
              <w:bidi w:val="0"/>
              <w:spacing w:before="0" w:after="283"/>
              <w:jc w:val="left"/>
              <w:rPr>
                <w:sz w:val="4"/>
                <w:szCs w:val="4"/>
              </w:rPr>
            </w:pPr>
            <w:r>
              <w:rPr>
                <w:sz w:val="4"/>
                <w:szCs w:val="4"/>
              </w:rPr>
            </w:r>
          </w:p>
        </w:tc>
        <w:tc>
          <w:tcPr>
            <w:tcW w:w="7945"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67" w:type="dxa"/>
            <w:tcBorders/>
          </w:tcPr>
          <w:p>
            <w:pPr>
              <w:pStyle w:val="TableContents"/>
              <w:bidi w:val="0"/>
              <w:spacing w:before="0" w:after="283"/>
              <w:jc w:val="left"/>
              <w:rPr/>
            </w:pPr>
            <w:r>
              <w:rPr/>
              <w:t>Section 1.01.</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Definitions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1.02.</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References to Interest</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2</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I</w:t>
            </w:r>
            <w:r>
              <w:rPr>
                <w:sz w:val="20"/>
              </w:rPr>
              <w:t>SSUE</w:t>
            </w:r>
            <w:r>
              <w:rPr/>
              <w:t>, D</w:t>
            </w:r>
            <w:r>
              <w:rPr>
                <w:sz w:val="20"/>
              </w:rPr>
              <w:t>ESCRIPTION</w:t>
            </w:r>
            <w:r>
              <w:rPr/>
              <w:t>, E</w:t>
            </w:r>
            <w:r>
              <w:rPr>
                <w:sz w:val="20"/>
              </w:rPr>
              <w:t>XECUTION</w:t>
            </w:r>
            <w:r>
              <w:rPr/>
              <w:t>, R</w:t>
            </w:r>
            <w:r>
              <w:rPr>
                <w:sz w:val="20"/>
              </w:rPr>
              <w:t>EGISTRATION</w:t>
            </w:r>
            <w:r>
              <w:rPr/>
              <w:t xml:space="preserve"> </w:t>
            </w:r>
            <w:r>
              <w:rPr>
                <w:sz w:val="20"/>
              </w:rPr>
              <w:t>AND</w:t>
            </w:r>
            <w:r>
              <w:rPr/>
              <w:t xml:space="preserve"> E</w:t>
            </w:r>
            <w:r>
              <w:rPr>
                <w:sz w:val="20"/>
              </w:rPr>
              <w:t>XCHANGE</w:t>
            </w:r>
            <w:r>
              <w:rPr/>
              <w:t xml:space="preserve"> </w:t>
            </w:r>
            <w:r>
              <w:rPr>
                <w:sz w:val="20"/>
              </w:rPr>
              <w:t>OF</w:t>
            </w:r>
            <w:r>
              <w:rPr/>
              <w:t xml:space="preserve"> N</w:t>
            </w:r>
            <w:r>
              <w:rPr>
                <w:sz w:val="20"/>
              </w:rPr>
              <w:t>OTES</w:t>
            </w:r>
          </w:p>
        </w:tc>
        <w:tc>
          <w:tcPr>
            <w:tcW w:w="64" w:type="dxa"/>
            <w:tcBorders/>
          </w:tcPr>
          <w:p>
            <w:pPr>
              <w:pStyle w:val="TableContents"/>
              <w:bidi w:val="0"/>
              <w:spacing w:before="0" w:after="0"/>
              <w:jc w:val="left"/>
              <w:rPr/>
            </w:pPr>
            <w:r>
              <w:rPr/>
              <w:t xml:space="preserve">  </w:t>
            </w:r>
          </w:p>
        </w:tc>
      </w:tr>
      <w:tr>
        <w:trPr>
          <w:trHeight w:val="120" w:hRule="atLeast"/>
        </w:trPr>
        <w:tc>
          <w:tcPr>
            <w:tcW w:w="1467" w:type="dxa"/>
            <w:tcBorders/>
            <w:vAlign w:val="center"/>
          </w:tcPr>
          <w:p>
            <w:pPr>
              <w:pStyle w:val="TableContents"/>
              <w:bidi w:val="0"/>
              <w:spacing w:before="0" w:after="283"/>
              <w:jc w:val="left"/>
              <w:rPr>
                <w:sz w:val="4"/>
                <w:szCs w:val="4"/>
              </w:rPr>
            </w:pPr>
            <w:r>
              <w:rPr>
                <w:sz w:val="4"/>
                <w:szCs w:val="4"/>
              </w:rPr>
            </w:r>
          </w:p>
        </w:tc>
        <w:tc>
          <w:tcPr>
            <w:tcW w:w="7945"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67" w:type="dxa"/>
            <w:tcBorders/>
          </w:tcPr>
          <w:p>
            <w:pPr>
              <w:pStyle w:val="TableContents"/>
              <w:bidi w:val="0"/>
              <w:spacing w:before="0" w:after="283"/>
              <w:jc w:val="left"/>
              <w:rPr/>
            </w:pPr>
            <w:r>
              <w:rPr/>
              <w:t>Section 2.01.</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Designation and Amount</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2.02.</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Form of Notes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2.03.</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pPr>
            <w:r>
              <w:rPr>
                <w:i/>
              </w:rPr>
              <w:t>Date and Denomination of Notes; No Regular Interest; Special Interest and</w:t>
            </w:r>
            <w:r>
              <w:rPr/>
              <w:t xml:space="preserve"> </w:t>
            </w:r>
            <w:r>
              <w:rPr>
                <w:i/>
              </w:rPr>
              <w:t>Defaulted Amounts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16</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2.04.</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Execution, Authentication and Delivery of Notes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2.05.</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pPr>
            <w:r>
              <w:rPr>
                <w:i/>
              </w:rPr>
              <w:t>Exchange and Registration of Transfer of Notes; Restrictions on Transfer;</w:t>
            </w:r>
            <w:r>
              <w:rPr/>
              <w:t xml:space="preserve"> </w:t>
            </w:r>
            <w:r>
              <w:rPr>
                <w:i/>
              </w:rPr>
              <w:t>Depositary</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2.06.</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Mutilated, Destroyed, Lost or Stolen Notes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2.07.</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Temporary Notes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2.08.</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pPr>
            <w:r>
              <w:rPr>
                <w:i/>
              </w:rPr>
              <w:t>Cancellation of Notes Paid, Converted, Etc</w:t>
            </w:r>
            <w:r>
              <w:rPr/>
              <w:t>.</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2.09.</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CUSIP Numbers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2.10.</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Additional Notes; Repurchases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3</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S</w:t>
            </w:r>
            <w:r>
              <w:rPr>
                <w:sz w:val="20"/>
              </w:rPr>
              <w:t>ATISFACTION</w:t>
            </w:r>
            <w:r>
              <w:rPr/>
              <w:t xml:space="preserve"> </w:t>
            </w:r>
            <w:r>
              <w:rPr>
                <w:sz w:val="20"/>
              </w:rPr>
              <w:t>AND</w:t>
            </w:r>
            <w:r>
              <w:rPr/>
              <w:t xml:space="preserve"> D</w:t>
            </w:r>
            <w:r>
              <w:rPr>
                <w:sz w:val="20"/>
              </w:rPr>
              <w:t>ISCHARGE</w:t>
            </w:r>
          </w:p>
        </w:tc>
        <w:tc>
          <w:tcPr>
            <w:tcW w:w="64" w:type="dxa"/>
            <w:tcBorders/>
          </w:tcPr>
          <w:p>
            <w:pPr>
              <w:pStyle w:val="TableContents"/>
              <w:bidi w:val="0"/>
              <w:spacing w:before="0" w:after="0"/>
              <w:jc w:val="left"/>
              <w:rPr/>
            </w:pPr>
            <w:r>
              <w:rPr/>
              <w:t> </w:t>
            </w:r>
          </w:p>
        </w:tc>
      </w:tr>
      <w:tr>
        <w:trPr>
          <w:trHeight w:val="120" w:hRule="atLeast"/>
        </w:trPr>
        <w:tc>
          <w:tcPr>
            <w:tcW w:w="1467" w:type="dxa"/>
            <w:tcBorders/>
            <w:vAlign w:val="center"/>
          </w:tcPr>
          <w:p>
            <w:pPr>
              <w:pStyle w:val="TableContents"/>
              <w:bidi w:val="0"/>
              <w:spacing w:before="0" w:after="283"/>
              <w:jc w:val="left"/>
              <w:rPr>
                <w:sz w:val="4"/>
                <w:szCs w:val="4"/>
              </w:rPr>
            </w:pPr>
            <w:r>
              <w:rPr>
                <w:sz w:val="4"/>
                <w:szCs w:val="4"/>
              </w:rPr>
            </w:r>
          </w:p>
        </w:tc>
        <w:tc>
          <w:tcPr>
            <w:tcW w:w="7945"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67" w:type="dxa"/>
            <w:tcBorders/>
          </w:tcPr>
          <w:p>
            <w:pPr>
              <w:pStyle w:val="TableContents"/>
              <w:bidi w:val="0"/>
              <w:spacing w:before="0" w:after="283"/>
              <w:jc w:val="left"/>
              <w:rPr/>
            </w:pPr>
            <w:r>
              <w:rPr/>
              <w:t>Section 3.01.</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Satisfaction and Discharge</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4</w:t>
            </w:r>
          </w:p>
        </w:tc>
        <w:tc>
          <w:tcPr>
            <w:tcW w:w="64" w:type="dxa"/>
            <w:tcBorders/>
          </w:tcPr>
          <w:p>
            <w:pPr>
              <w:pStyle w:val="TableContents"/>
              <w:bidi w:val="0"/>
              <w:spacing w:before="0" w:after="0"/>
              <w:jc w:val="left"/>
              <w:rPr/>
            </w:pPr>
            <w:r>
              <w:rPr/>
              <w:t> </w:t>
            </w:r>
          </w:p>
        </w:tc>
      </w:tr>
      <w:tr>
        <w:trPr/>
        <w:tc>
          <w:tcPr>
            <w:tcW w:w="10141" w:type="dxa"/>
            <w:gridSpan w:val="6"/>
            <w:tcBorders/>
          </w:tcPr>
          <w:p>
            <w:pPr>
              <w:pStyle w:val="TableContents"/>
              <w:bidi w:val="0"/>
              <w:spacing w:before="0" w:after="283"/>
              <w:jc w:val="center"/>
              <w:rPr/>
            </w:pPr>
            <w:r>
              <w:rPr/>
              <w:t>P</w:t>
            </w:r>
            <w:r>
              <w:rPr>
                <w:sz w:val="20"/>
              </w:rPr>
              <w:t>ARTICULAR</w:t>
            </w:r>
            <w:r>
              <w:rPr/>
              <w:t xml:space="preserve"> C</w:t>
            </w:r>
            <w:r>
              <w:rPr>
                <w:sz w:val="20"/>
              </w:rPr>
              <w:t>OVENANTS</w:t>
            </w:r>
            <w:r>
              <w:rPr/>
              <w:t xml:space="preserve"> </w:t>
            </w:r>
            <w:r>
              <w:rPr>
                <w:sz w:val="20"/>
              </w:rPr>
              <w:t>OF</w:t>
            </w:r>
            <w:r>
              <w:rPr/>
              <w:t xml:space="preserve"> </w:t>
            </w:r>
            <w:r>
              <w:rPr>
                <w:sz w:val="20"/>
              </w:rPr>
              <w:t>THE</w:t>
            </w:r>
            <w:r>
              <w:rPr/>
              <w:t xml:space="preserve"> C</w:t>
            </w:r>
            <w:r>
              <w:rPr>
                <w:sz w:val="20"/>
              </w:rPr>
              <w:t>OMPANY</w:t>
            </w:r>
          </w:p>
        </w:tc>
        <w:tc>
          <w:tcPr>
            <w:tcW w:w="64" w:type="dxa"/>
            <w:tcBorders/>
          </w:tcPr>
          <w:p>
            <w:pPr>
              <w:pStyle w:val="TableContents"/>
              <w:bidi w:val="0"/>
              <w:spacing w:before="0" w:after="0"/>
              <w:jc w:val="left"/>
              <w:rPr/>
            </w:pPr>
            <w:r>
              <w:rPr/>
              <w:t> </w:t>
            </w:r>
          </w:p>
        </w:tc>
      </w:tr>
      <w:tr>
        <w:trPr>
          <w:trHeight w:val="120" w:hRule="atLeast"/>
        </w:trPr>
        <w:tc>
          <w:tcPr>
            <w:tcW w:w="1467" w:type="dxa"/>
            <w:tcBorders/>
            <w:vAlign w:val="center"/>
          </w:tcPr>
          <w:p>
            <w:pPr>
              <w:pStyle w:val="TableContents"/>
              <w:bidi w:val="0"/>
              <w:spacing w:before="0" w:after="283"/>
              <w:jc w:val="left"/>
              <w:rPr>
                <w:sz w:val="4"/>
                <w:szCs w:val="4"/>
              </w:rPr>
            </w:pPr>
            <w:r>
              <w:rPr>
                <w:sz w:val="4"/>
                <w:szCs w:val="4"/>
              </w:rPr>
            </w:r>
          </w:p>
        </w:tc>
        <w:tc>
          <w:tcPr>
            <w:tcW w:w="7945" w:type="dxa"/>
            <w:gridSpan w:val="2"/>
            <w:tcBorders/>
            <w:vAlign w:val="center"/>
          </w:tcPr>
          <w:p>
            <w:pPr>
              <w:pStyle w:val="TableContents"/>
              <w:bidi w:val="0"/>
              <w:spacing w:before="0" w:after="283"/>
              <w:jc w:val="left"/>
              <w:rPr>
                <w:sz w:val="4"/>
                <w:szCs w:val="4"/>
              </w:rPr>
            </w:pPr>
            <w:r>
              <w:rPr>
                <w:sz w:val="4"/>
                <w:szCs w:val="4"/>
              </w:rPr>
            </w:r>
          </w:p>
        </w:tc>
        <w:tc>
          <w:tcPr>
            <w:tcW w:w="793" w:type="dxa"/>
            <w:gridSpan w:val="4"/>
            <w:tcBorders/>
            <w:vAlign w:val="center"/>
          </w:tcPr>
          <w:p>
            <w:pPr>
              <w:pStyle w:val="TableContents"/>
              <w:bidi w:val="0"/>
              <w:spacing w:before="0" w:after="283"/>
              <w:jc w:val="left"/>
              <w:rPr>
                <w:sz w:val="4"/>
                <w:szCs w:val="4"/>
              </w:rPr>
            </w:pPr>
            <w:r>
              <w:rPr>
                <w:sz w:val="4"/>
                <w:szCs w:val="4"/>
              </w:rPr>
            </w:r>
          </w:p>
        </w:tc>
      </w:tr>
      <w:tr>
        <w:trPr/>
        <w:tc>
          <w:tcPr>
            <w:tcW w:w="1467" w:type="dxa"/>
            <w:tcBorders/>
          </w:tcPr>
          <w:p>
            <w:pPr>
              <w:pStyle w:val="TableContents"/>
              <w:bidi w:val="0"/>
              <w:spacing w:before="0" w:after="283"/>
              <w:jc w:val="left"/>
              <w:rPr/>
            </w:pPr>
            <w:r>
              <w:rPr/>
              <w:t>Section 4.01.</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Payment of Principal and Special Interest</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4.02.</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Maintenance of Office or Agency</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4.03.</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Appointments to Fill Vacancies in Trustee’s Office</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4.04.</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Provisions as to Paying Agent</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4.05.</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Existence</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4.06.</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Rule 144A Information Requirement and Annual Reports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4.07.</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Stay, Extension and Usury Laws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4.08.</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Compliance Certificate; Statements as to Defaults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4.09.</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Further Instruments and Acts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1467" w:type="dxa"/>
            <w:tcBorders/>
          </w:tcPr>
          <w:p>
            <w:pPr>
              <w:pStyle w:val="TableContents"/>
              <w:bidi w:val="0"/>
              <w:spacing w:before="0" w:after="283"/>
              <w:jc w:val="left"/>
              <w:rPr/>
            </w:pPr>
            <w:r>
              <w:rPr/>
              <w:t>Section 4.10.</w:t>
            </w:r>
          </w:p>
        </w:tc>
        <w:tc>
          <w:tcPr>
            <w:tcW w:w="128" w:type="dxa"/>
            <w:tcBorders/>
            <w:vAlign w:val="bottom"/>
          </w:tcPr>
          <w:p>
            <w:pPr>
              <w:pStyle w:val="TableContents"/>
              <w:bidi w:val="0"/>
              <w:spacing w:before="0" w:after="283"/>
              <w:jc w:val="left"/>
              <w:rPr/>
            </w:pPr>
            <w:r>
              <w:rPr/>
              <w:t> </w:t>
            </w:r>
          </w:p>
        </w:tc>
        <w:tc>
          <w:tcPr>
            <w:tcW w:w="7817" w:type="dxa"/>
            <w:tcBorders/>
          </w:tcPr>
          <w:p>
            <w:pPr>
              <w:pStyle w:val="TableContents"/>
              <w:bidi w:val="0"/>
              <w:spacing w:before="0" w:after="283"/>
              <w:jc w:val="left"/>
              <w:rPr>
                <w:i/>
              </w:rPr>
            </w:pPr>
            <w:r>
              <w:rPr>
                <w:i/>
              </w:rPr>
              <w:t>Additional Amounts</w:t>
            </w:r>
          </w:p>
        </w:tc>
        <w:tc>
          <w:tcPr>
            <w:tcW w:w="178"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449"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709"/>
        <w:gridCol w:w="120"/>
        <w:gridCol w:w="7829"/>
        <w:gridCol w:w="162"/>
        <w:gridCol w:w="60"/>
        <w:gridCol w:w="262"/>
        <w:gridCol w:w="63"/>
      </w:tblGrid>
      <w:tr>
        <w:trPr/>
        <w:tc>
          <w:tcPr>
            <w:tcW w:w="17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829"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5</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L</w:t>
            </w:r>
            <w:r>
              <w:rPr>
                <w:sz w:val="20"/>
              </w:rPr>
              <w:t>ISTS</w:t>
            </w:r>
            <w:r>
              <w:rPr/>
              <w:t xml:space="preserve"> </w:t>
            </w:r>
            <w:r>
              <w:rPr>
                <w:sz w:val="20"/>
              </w:rPr>
              <w:t>OF</w:t>
            </w:r>
            <w:r>
              <w:rPr/>
              <w:t xml:space="preserve"> H</w:t>
            </w:r>
            <w:r>
              <w:rPr>
                <w:sz w:val="20"/>
              </w:rPr>
              <w:t>OLDERS</w:t>
            </w:r>
            <w:r>
              <w:rPr/>
              <w:t xml:space="preserve"> </w:t>
            </w:r>
            <w:r>
              <w:rPr>
                <w:sz w:val="20"/>
              </w:rPr>
              <w:t>AND</w:t>
            </w:r>
            <w:r>
              <w:rPr/>
              <w:t xml:space="preserve"> R</w:t>
            </w:r>
            <w:r>
              <w:rPr>
                <w:sz w:val="20"/>
              </w:rPr>
              <w:t>EPORTS</w:t>
            </w:r>
            <w:r>
              <w:rPr/>
              <w:t xml:space="preserve"> </w:t>
            </w:r>
            <w:r>
              <w:rPr>
                <w:sz w:val="20"/>
              </w:rPr>
              <w:t>BY</w:t>
            </w:r>
            <w:r>
              <w:rPr/>
              <w:t xml:space="preserve"> </w:t>
            </w:r>
            <w:r>
              <w:rPr>
                <w:sz w:val="20"/>
              </w:rPr>
              <w:t>THE</w:t>
            </w:r>
            <w:r>
              <w:rPr/>
              <w:t xml:space="preserve"> C</w:t>
            </w:r>
            <w:r>
              <w:rPr>
                <w:sz w:val="20"/>
              </w:rPr>
              <w:t>OMPANY</w:t>
            </w:r>
            <w:r>
              <w:rPr/>
              <w:t xml:space="preserve"> </w:t>
            </w:r>
            <w:r>
              <w:rPr>
                <w:sz w:val="20"/>
              </w:rPr>
              <w:t>AND</w:t>
            </w:r>
            <w:r>
              <w:rPr/>
              <w:t xml:space="preserve"> </w:t>
            </w:r>
            <w:r>
              <w:rPr>
                <w:sz w:val="20"/>
              </w:rPr>
              <w:t>THE</w:t>
            </w:r>
            <w:r>
              <w:rPr/>
              <w:t xml:space="preserve"> T</w:t>
            </w:r>
            <w:r>
              <w:rPr>
                <w:sz w:val="20"/>
              </w:rPr>
              <w:t>RUSTEE</w:t>
            </w:r>
          </w:p>
        </w:tc>
        <w:tc>
          <w:tcPr>
            <w:tcW w:w="63" w:type="dxa"/>
            <w:tcBorders/>
          </w:tcPr>
          <w:p>
            <w:pPr>
              <w:pStyle w:val="TableContents"/>
              <w:bidi w:val="0"/>
              <w:spacing w:before="0" w:after="0"/>
              <w:jc w:val="left"/>
              <w:rPr/>
            </w:pPr>
            <w:r>
              <w:rPr/>
              <w:t> </w:t>
            </w:r>
          </w:p>
        </w:tc>
      </w:tr>
      <w:tr>
        <w:trPr>
          <w:trHeight w:val="120" w:hRule="atLeast"/>
        </w:trPr>
        <w:tc>
          <w:tcPr>
            <w:tcW w:w="1709" w:type="dxa"/>
            <w:tcBorders/>
            <w:vAlign w:val="center"/>
          </w:tcPr>
          <w:p>
            <w:pPr>
              <w:pStyle w:val="TableContents"/>
              <w:bidi w:val="0"/>
              <w:spacing w:before="0" w:after="283"/>
              <w:jc w:val="left"/>
              <w:rPr>
                <w:sz w:val="4"/>
                <w:szCs w:val="4"/>
              </w:rPr>
            </w:pPr>
            <w:r>
              <w:rPr>
                <w:sz w:val="4"/>
                <w:szCs w:val="4"/>
              </w:rPr>
            </w:r>
          </w:p>
        </w:tc>
        <w:tc>
          <w:tcPr>
            <w:tcW w:w="7949"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709" w:type="dxa"/>
            <w:tcBorders/>
          </w:tcPr>
          <w:p>
            <w:pPr>
              <w:pStyle w:val="TableContents"/>
              <w:bidi w:val="0"/>
              <w:spacing w:before="0" w:after="283"/>
              <w:jc w:val="left"/>
              <w:rPr/>
            </w:pPr>
            <w:r>
              <w:rPr/>
              <w:t>Section 5.01.</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Lists of Holders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5.02.</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Preservation and Disclosure of Lists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6</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D</w:t>
            </w:r>
            <w:r>
              <w:rPr>
                <w:sz w:val="20"/>
              </w:rPr>
              <w:t>EFAULTS</w:t>
            </w:r>
            <w:r>
              <w:rPr/>
              <w:t xml:space="preserve"> </w:t>
            </w:r>
            <w:r>
              <w:rPr>
                <w:sz w:val="20"/>
              </w:rPr>
              <w:t>AND</w:t>
            </w:r>
            <w:r>
              <w:rPr/>
              <w:t xml:space="preserve"> R</w:t>
            </w:r>
            <w:r>
              <w:rPr>
                <w:sz w:val="20"/>
              </w:rPr>
              <w:t>EMEDIES</w:t>
            </w:r>
          </w:p>
        </w:tc>
        <w:tc>
          <w:tcPr>
            <w:tcW w:w="63" w:type="dxa"/>
            <w:tcBorders/>
          </w:tcPr>
          <w:p>
            <w:pPr>
              <w:pStyle w:val="TableContents"/>
              <w:bidi w:val="0"/>
              <w:spacing w:before="0" w:after="0"/>
              <w:jc w:val="left"/>
              <w:rPr/>
            </w:pPr>
            <w:r>
              <w:rPr/>
              <w:t> </w:t>
            </w:r>
          </w:p>
        </w:tc>
      </w:tr>
      <w:tr>
        <w:trPr>
          <w:trHeight w:val="120" w:hRule="atLeast"/>
        </w:trPr>
        <w:tc>
          <w:tcPr>
            <w:tcW w:w="1709" w:type="dxa"/>
            <w:tcBorders/>
            <w:vAlign w:val="center"/>
          </w:tcPr>
          <w:p>
            <w:pPr>
              <w:pStyle w:val="TableContents"/>
              <w:bidi w:val="0"/>
              <w:spacing w:before="0" w:after="283"/>
              <w:jc w:val="left"/>
              <w:rPr>
                <w:sz w:val="4"/>
                <w:szCs w:val="4"/>
              </w:rPr>
            </w:pPr>
            <w:r>
              <w:rPr>
                <w:sz w:val="4"/>
                <w:szCs w:val="4"/>
              </w:rPr>
            </w:r>
          </w:p>
        </w:tc>
        <w:tc>
          <w:tcPr>
            <w:tcW w:w="7949"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709" w:type="dxa"/>
            <w:tcBorders/>
          </w:tcPr>
          <w:p>
            <w:pPr>
              <w:pStyle w:val="TableContents"/>
              <w:bidi w:val="0"/>
              <w:spacing w:before="0" w:after="283"/>
              <w:jc w:val="left"/>
              <w:rPr/>
            </w:pPr>
            <w:r>
              <w:rPr/>
              <w:t>Section 6.01.</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Events of Default</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38</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6.02.</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Acceleration; Rescission and Annulment</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40</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6.03.</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Special Interest</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6.04.</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Payments of Notes on Default; Suit Therefor</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6.05.</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Application of Monies Collected by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6.06.</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Proceedings by Holders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6.07.</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Proceedings by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6.08.</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Remedies Cumulative and Continuing</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6.09.</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Direction of Proceedings and Waiver of Defaults by Majority of Holders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6.10.</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Notice of Defaults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6.11.</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Undertaking to Pay Costs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7</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C</w:t>
            </w:r>
            <w:r>
              <w:rPr>
                <w:sz w:val="20"/>
              </w:rPr>
              <w:t>ONCERNING</w:t>
            </w:r>
            <w:r>
              <w:rPr/>
              <w:t xml:space="preserve"> </w:t>
            </w:r>
            <w:r>
              <w:rPr>
                <w:sz w:val="20"/>
              </w:rPr>
              <w:t>THE</w:t>
            </w:r>
            <w:r>
              <w:rPr/>
              <w:t xml:space="preserve"> T</w:t>
            </w:r>
            <w:r>
              <w:rPr>
                <w:sz w:val="20"/>
              </w:rPr>
              <w:t>RUSTEE</w:t>
            </w:r>
          </w:p>
        </w:tc>
        <w:tc>
          <w:tcPr>
            <w:tcW w:w="63" w:type="dxa"/>
            <w:tcBorders/>
          </w:tcPr>
          <w:p>
            <w:pPr>
              <w:pStyle w:val="TableContents"/>
              <w:bidi w:val="0"/>
              <w:spacing w:before="0" w:after="0"/>
              <w:jc w:val="left"/>
              <w:rPr/>
            </w:pPr>
            <w:r>
              <w:rPr/>
              <w:t> </w:t>
            </w:r>
          </w:p>
        </w:tc>
      </w:tr>
      <w:tr>
        <w:trPr>
          <w:trHeight w:val="120" w:hRule="atLeast"/>
        </w:trPr>
        <w:tc>
          <w:tcPr>
            <w:tcW w:w="1709" w:type="dxa"/>
            <w:tcBorders/>
            <w:vAlign w:val="center"/>
          </w:tcPr>
          <w:p>
            <w:pPr>
              <w:pStyle w:val="TableContents"/>
              <w:bidi w:val="0"/>
              <w:spacing w:before="0" w:after="283"/>
              <w:jc w:val="left"/>
              <w:rPr>
                <w:sz w:val="4"/>
                <w:szCs w:val="4"/>
              </w:rPr>
            </w:pPr>
            <w:r>
              <w:rPr>
                <w:sz w:val="4"/>
                <w:szCs w:val="4"/>
              </w:rPr>
            </w:r>
          </w:p>
        </w:tc>
        <w:tc>
          <w:tcPr>
            <w:tcW w:w="7949"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709" w:type="dxa"/>
            <w:tcBorders/>
          </w:tcPr>
          <w:p>
            <w:pPr>
              <w:pStyle w:val="TableContents"/>
              <w:bidi w:val="0"/>
              <w:spacing w:before="0" w:after="283"/>
              <w:jc w:val="left"/>
              <w:rPr/>
            </w:pPr>
            <w:r>
              <w:rPr/>
              <w:t>Section 7.01.</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Duties and Responsibilities of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7.02.</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Reliance on Documents, Opinions, Etc.</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7.03.</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No Responsibility for Recitals, Etc.</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7.04.</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Trustee, Paying Agents, Conversion Agents, Bid Solicitation Agent or Note Registrar May Own Notes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7.05.</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Monies and ADSs to Be Held in Trust</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7.06.</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Compensation and Expenses of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7.07.</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Officers’ Certificate as Evidence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7.08.</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Eligibility of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7.09.</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Resignation or Removal of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53</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7.10.</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Acceptance by Successor Trustee</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7.11.</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Succession by Merger, Etc.</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7.12.</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Trustee’s Application for Instructions from the Company</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8</w:t>
            </w:r>
          </w:p>
        </w:tc>
        <w:tc>
          <w:tcPr>
            <w:tcW w:w="63" w:type="dxa"/>
            <w:tcBorders/>
          </w:tcPr>
          <w:p>
            <w:pPr>
              <w:pStyle w:val="TableContents"/>
              <w:bidi w:val="0"/>
              <w:spacing w:before="0" w:after="0"/>
              <w:jc w:val="left"/>
              <w:rPr/>
            </w:pPr>
            <w:r>
              <w:rPr/>
              <w:t> </w:t>
            </w:r>
          </w:p>
        </w:tc>
      </w:tr>
      <w:tr>
        <w:trPr/>
        <w:tc>
          <w:tcPr>
            <w:tcW w:w="10142" w:type="dxa"/>
            <w:gridSpan w:val="6"/>
            <w:tcBorders/>
          </w:tcPr>
          <w:p>
            <w:pPr>
              <w:pStyle w:val="TableContents"/>
              <w:bidi w:val="0"/>
              <w:spacing w:before="0" w:after="283"/>
              <w:jc w:val="center"/>
              <w:rPr/>
            </w:pPr>
            <w:r>
              <w:rPr/>
              <w:t>C</w:t>
            </w:r>
            <w:r>
              <w:rPr>
                <w:sz w:val="20"/>
              </w:rPr>
              <w:t>ONCERNING</w:t>
            </w:r>
            <w:r>
              <w:rPr/>
              <w:t xml:space="preserve"> </w:t>
            </w:r>
            <w:r>
              <w:rPr>
                <w:sz w:val="20"/>
              </w:rPr>
              <w:t>THE</w:t>
            </w:r>
            <w:r>
              <w:rPr/>
              <w:t xml:space="preserve"> H</w:t>
            </w:r>
            <w:r>
              <w:rPr>
                <w:sz w:val="20"/>
              </w:rPr>
              <w:t>OLDERS</w:t>
            </w:r>
          </w:p>
        </w:tc>
        <w:tc>
          <w:tcPr>
            <w:tcW w:w="63" w:type="dxa"/>
            <w:tcBorders/>
          </w:tcPr>
          <w:p>
            <w:pPr>
              <w:pStyle w:val="TableContents"/>
              <w:bidi w:val="0"/>
              <w:spacing w:before="0" w:after="0"/>
              <w:jc w:val="left"/>
              <w:rPr/>
            </w:pPr>
            <w:r>
              <w:rPr/>
              <w:t> </w:t>
            </w:r>
          </w:p>
        </w:tc>
      </w:tr>
      <w:tr>
        <w:trPr>
          <w:trHeight w:val="120" w:hRule="atLeast"/>
        </w:trPr>
        <w:tc>
          <w:tcPr>
            <w:tcW w:w="1709" w:type="dxa"/>
            <w:tcBorders/>
            <w:vAlign w:val="center"/>
          </w:tcPr>
          <w:p>
            <w:pPr>
              <w:pStyle w:val="TableContents"/>
              <w:bidi w:val="0"/>
              <w:spacing w:before="0" w:after="283"/>
              <w:jc w:val="left"/>
              <w:rPr>
                <w:sz w:val="4"/>
                <w:szCs w:val="4"/>
              </w:rPr>
            </w:pPr>
            <w:r>
              <w:rPr>
                <w:sz w:val="4"/>
                <w:szCs w:val="4"/>
              </w:rPr>
            </w:r>
          </w:p>
        </w:tc>
        <w:tc>
          <w:tcPr>
            <w:tcW w:w="7949" w:type="dxa"/>
            <w:gridSpan w:val="2"/>
            <w:tcBorders/>
            <w:vAlign w:val="center"/>
          </w:tcPr>
          <w:p>
            <w:pPr>
              <w:pStyle w:val="TableContents"/>
              <w:bidi w:val="0"/>
              <w:spacing w:before="0" w:after="283"/>
              <w:jc w:val="left"/>
              <w:rPr>
                <w:sz w:val="4"/>
                <w:szCs w:val="4"/>
              </w:rPr>
            </w:pPr>
            <w:r>
              <w:rPr>
                <w:sz w:val="4"/>
                <w:szCs w:val="4"/>
              </w:rPr>
            </w:r>
          </w:p>
        </w:tc>
        <w:tc>
          <w:tcPr>
            <w:tcW w:w="547" w:type="dxa"/>
            <w:gridSpan w:val="4"/>
            <w:tcBorders/>
            <w:vAlign w:val="center"/>
          </w:tcPr>
          <w:p>
            <w:pPr>
              <w:pStyle w:val="TableContents"/>
              <w:bidi w:val="0"/>
              <w:spacing w:before="0" w:after="283"/>
              <w:jc w:val="left"/>
              <w:rPr>
                <w:sz w:val="4"/>
                <w:szCs w:val="4"/>
              </w:rPr>
            </w:pPr>
            <w:r>
              <w:rPr>
                <w:sz w:val="4"/>
                <w:szCs w:val="4"/>
              </w:rPr>
            </w:r>
          </w:p>
        </w:tc>
      </w:tr>
      <w:tr>
        <w:trPr/>
        <w:tc>
          <w:tcPr>
            <w:tcW w:w="1709" w:type="dxa"/>
            <w:tcBorders/>
          </w:tcPr>
          <w:p>
            <w:pPr>
              <w:pStyle w:val="TableContents"/>
              <w:bidi w:val="0"/>
              <w:spacing w:before="0" w:after="283"/>
              <w:jc w:val="left"/>
              <w:rPr/>
            </w:pPr>
            <w:r>
              <w:rPr/>
              <w:t>Section 8.01.</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Action by Holders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8.02.</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Proof of Execution by Holders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8.03.</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Who Are Deemed Absolute Owners</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8.04.</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Company-Owned Notes Disregarded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56</w:t>
            </w:r>
          </w:p>
        </w:tc>
        <w:tc>
          <w:tcPr>
            <w:tcW w:w="63" w:type="dxa"/>
            <w:tcBorders/>
            <w:vAlign w:val="bottom"/>
          </w:tcPr>
          <w:p>
            <w:pPr>
              <w:pStyle w:val="TableContents"/>
              <w:bidi w:val="0"/>
              <w:spacing w:before="0" w:after="283"/>
              <w:jc w:val="left"/>
              <w:rPr/>
            </w:pPr>
            <w:r>
              <w:rPr/>
              <w:t> </w:t>
            </w:r>
          </w:p>
        </w:tc>
      </w:tr>
      <w:tr>
        <w:trPr/>
        <w:tc>
          <w:tcPr>
            <w:tcW w:w="1709" w:type="dxa"/>
            <w:tcBorders/>
          </w:tcPr>
          <w:p>
            <w:pPr>
              <w:pStyle w:val="TableContents"/>
              <w:bidi w:val="0"/>
              <w:spacing w:before="0" w:after="283"/>
              <w:jc w:val="left"/>
              <w:rPr/>
            </w:pPr>
            <w:r>
              <w:rPr/>
              <w:t>Section 8.05.</w:t>
            </w:r>
          </w:p>
        </w:tc>
        <w:tc>
          <w:tcPr>
            <w:tcW w:w="120" w:type="dxa"/>
            <w:tcBorders/>
            <w:vAlign w:val="bottom"/>
          </w:tcPr>
          <w:p>
            <w:pPr>
              <w:pStyle w:val="TableContents"/>
              <w:bidi w:val="0"/>
              <w:spacing w:before="0" w:after="283"/>
              <w:jc w:val="left"/>
              <w:rPr/>
            </w:pPr>
            <w:r>
              <w:rPr/>
              <w:t> </w:t>
            </w:r>
          </w:p>
        </w:tc>
        <w:tc>
          <w:tcPr>
            <w:tcW w:w="7829" w:type="dxa"/>
            <w:tcBorders/>
          </w:tcPr>
          <w:p>
            <w:pPr>
              <w:pStyle w:val="TableContents"/>
              <w:bidi w:val="0"/>
              <w:spacing w:before="0" w:after="283"/>
              <w:jc w:val="left"/>
              <w:rPr>
                <w:i/>
              </w:rPr>
            </w:pPr>
            <w:r>
              <w:rPr>
                <w:i/>
              </w:rPr>
              <w:t>Revocation of Consents; Future Holders Bound</w:t>
            </w:r>
          </w:p>
        </w:tc>
        <w:tc>
          <w:tcPr>
            <w:tcW w:w="16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09"/>
        <w:gridCol w:w="121"/>
        <w:gridCol w:w="7725"/>
        <w:gridCol w:w="164"/>
        <w:gridCol w:w="60"/>
        <w:gridCol w:w="262"/>
        <w:gridCol w:w="64"/>
      </w:tblGrid>
      <w:tr>
        <w:trPr/>
        <w:tc>
          <w:tcPr>
            <w:tcW w:w="180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25"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pPr>
            <w:r>
              <w:rPr/>
              <w:t>ARTICLE 9</w:t>
            </w:r>
          </w:p>
        </w:tc>
        <w:tc>
          <w:tcPr>
            <w:tcW w:w="64" w:type="dxa"/>
            <w:tcBorders/>
            <w:vAlign w:val="bottom"/>
          </w:tcPr>
          <w:p>
            <w:pPr>
              <w:pStyle w:val="TableContents"/>
              <w:bidi w:val="0"/>
              <w:spacing w:before="0" w:after="0"/>
              <w:jc w:val="left"/>
              <w:rPr/>
            </w:pPr>
            <w:r>
              <w:rPr/>
              <w:t> </w:t>
            </w:r>
          </w:p>
        </w:tc>
      </w:tr>
      <w:tr>
        <w:trPr/>
        <w:tc>
          <w:tcPr>
            <w:tcW w:w="10141" w:type="dxa"/>
            <w:gridSpan w:val="6"/>
            <w:tcBorders/>
            <w:vAlign w:val="bottom"/>
          </w:tcPr>
          <w:p>
            <w:pPr>
              <w:pStyle w:val="TableContents"/>
              <w:bidi w:val="0"/>
              <w:spacing w:before="0" w:after="283"/>
              <w:jc w:val="center"/>
              <w:rPr/>
            </w:pPr>
            <w:r>
              <w:rPr/>
              <w:t>H</w:t>
            </w:r>
            <w:r>
              <w:rPr>
                <w:sz w:val="20"/>
              </w:rPr>
              <w:t>OLDERS</w:t>
            </w:r>
            <w:r>
              <w:rPr/>
              <w:t>’ M</w:t>
            </w:r>
            <w:r>
              <w:rPr>
                <w:sz w:val="20"/>
              </w:rPr>
              <w:t>EETINGS</w:t>
            </w:r>
          </w:p>
        </w:tc>
        <w:tc>
          <w:tcPr>
            <w:tcW w:w="64" w:type="dxa"/>
            <w:tcBorders/>
            <w:vAlign w:val="bottom"/>
          </w:tcPr>
          <w:p>
            <w:pPr>
              <w:pStyle w:val="TableContents"/>
              <w:bidi w:val="0"/>
              <w:spacing w:before="0" w:after="0"/>
              <w:jc w:val="left"/>
              <w:rPr/>
            </w:pPr>
            <w:r>
              <w:rPr/>
              <w:t> </w:t>
            </w:r>
          </w:p>
        </w:tc>
      </w:tr>
      <w:tr>
        <w:trPr>
          <w:trHeight w:val="120" w:hRule="atLeast"/>
        </w:trPr>
        <w:tc>
          <w:tcPr>
            <w:tcW w:w="1809" w:type="dxa"/>
            <w:tcBorders/>
            <w:vAlign w:val="center"/>
          </w:tcPr>
          <w:p>
            <w:pPr>
              <w:pStyle w:val="TableContents"/>
              <w:bidi w:val="0"/>
              <w:spacing w:before="0" w:after="283"/>
              <w:jc w:val="left"/>
              <w:rPr>
                <w:sz w:val="4"/>
                <w:szCs w:val="4"/>
              </w:rPr>
            </w:pPr>
            <w:r>
              <w:rPr>
                <w:sz w:val="4"/>
                <w:szCs w:val="4"/>
              </w:rPr>
            </w:r>
          </w:p>
        </w:tc>
        <w:tc>
          <w:tcPr>
            <w:tcW w:w="784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vAlign w:val="bottom"/>
          </w:tcPr>
          <w:p>
            <w:pPr>
              <w:pStyle w:val="TableContents"/>
              <w:bidi w:val="0"/>
              <w:spacing w:before="0" w:after="283"/>
              <w:jc w:val="left"/>
              <w:rPr/>
            </w:pPr>
            <w:r>
              <w:rPr/>
              <w:t>Section 9.01.</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Purpose of Meetings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57</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9.02.</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Call of Meetings by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9.03.</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Call of Meetings by Company or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9.04.</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Qualifications for Voting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9.05.</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Regulations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58</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9.06.</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Voting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9.07.</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No Delay of Rights by Meeting</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pPr>
            <w:r>
              <w:rPr/>
              <w:t>ARTICLE 10</w:t>
            </w:r>
          </w:p>
        </w:tc>
        <w:tc>
          <w:tcPr>
            <w:tcW w:w="64" w:type="dxa"/>
            <w:tcBorders/>
            <w:vAlign w:val="bottom"/>
          </w:tcPr>
          <w:p>
            <w:pPr>
              <w:pStyle w:val="TableContents"/>
              <w:bidi w:val="0"/>
              <w:spacing w:before="0" w:after="0"/>
              <w:jc w:val="left"/>
              <w:rPr/>
            </w:pPr>
            <w:r>
              <w:rPr/>
              <w:t> </w:t>
            </w:r>
          </w:p>
        </w:tc>
      </w:tr>
      <w:tr>
        <w:trPr/>
        <w:tc>
          <w:tcPr>
            <w:tcW w:w="10141" w:type="dxa"/>
            <w:gridSpan w:val="6"/>
            <w:tcBorders/>
            <w:vAlign w:val="bottom"/>
          </w:tcPr>
          <w:p>
            <w:pPr>
              <w:pStyle w:val="TableContents"/>
              <w:bidi w:val="0"/>
              <w:spacing w:before="0" w:after="283"/>
              <w:jc w:val="center"/>
              <w:rPr/>
            </w:pPr>
            <w:r>
              <w:rPr/>
              <w:t>S</w:t>
            </w:r>
            <w:r>
              <w:rPr>
                <w:sz w:val="20"/>
              </w:rPr>
              <w:t>UPPLEMENTAL</w:t>
            </w:r>
            <w:r>
              <w:rPr/>
              <w:t xml:space="preserve"> I</w:t>
            </w:r>
            <w:r>
              <w:rPr>
                <w:sz w:val="20"/>
              </w:rPr>
              <w:t>NDENTURES</w:t>
            </w:r>
          </w:p>
        </w:tc>
        <w:tc>
          <w:tcPr>
            <w:tcW w:w="64" w:type="dxa"/>
            <w:tcBorders/>
            <w:vAlign w:val="bottom"/>
          </w:tcPr>
          <w:p>
            <w:pPr>
              <w:pStyle w:val="TableContents"/>
              <w:bidi w:val="0"/>
              <w:spacing w:before="0" w:after="0"/>
              <w:jc w:val="left"/>
              <w:rPr/>
            </w:pPr>
            <w:r>
              <w:rPr/>
              <w:t> </w:t>
            </w:r>
          </w:p>
        </w:tc>
      </w:tr>
      <w:tr>
        <w:trPr>
          <w:trHeight w:val="120" w:hRule="atLeast"/>
        </w:trPr>
        <w:tc>
          <w:tcPr>
            <w:tcW w:w="1809" w:type="dxa"/>
            <w:tcBorders/>
            <w:vAlign w:val="center"/>
          </w:tcPr>
          <w:p>
            <w:pPr>
              <w:pStyle w:val="TableContents"/>
              <w:bidi w:val="0"/>
              <w:spacing w:before="0" w:after="283"/>
              <w:jc w:val="left"/>
              <w:rPr>
                <w:sz w:val="4"/>
                <w:szCs w:val="4"/>
              </w:rPr>
            </w:pPr>
            <w:r>
              <w:rPr>
                <w:sz w:val="4"/>
                <w:szCs w:val="4"/>
              </w:rPr>
            </w:r>
          </w:p>
        </w:tc>
        <w:tc>
          <w:tcPr>
            <w:tcW w:w="784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vAlign w:val="bottom"/>
          </w:tcPr>
          <w:p>
            <w:pPr>
              <w:pStyle w:val="TableContents"/>
              <w:bidi w:val="0"/>
              <w:spacing w:before="0" w:after="283"/>
              <w:jc w:val="left"/>
              <w:rPr/>
            </w:pPr>
            <w:r>
              <w:rPr/>
              <w:t>Section 10.01.</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Supplemental Indentures Without Consent of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10.02.</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Supplemental Indentures with Consent of Holders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10.03.</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Effect of Supplemental Indentures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10.04.</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Notation on Notes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10.05.</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Evidence of Compliance of Supplemental Indenture to Be Furnished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pPr>
            <w:r>
              <w:rPr/>
              <w:t>ARTICLE 11</w:t>
            </w:r>
          </w:p>
        </w:tc>
        <w:tc>
          <w:tcPr>
            <w:tcW w:w="64" w:type="dxa"/>
            <w:tcBorders/>
            <w:vAlign w:val="bottom"/>
          </w:tcPr>
          <w:p>
            <w:pPr>
              <w:pStyle w:val="TableContents"/>
              <w:bidi w:val="0"/>
              <w:spacing w:before="0" w:after="0"/>
              <w:jc w:val="left"/>
              <w:rPr/>
            </w:pPr>
            <w:r>
              <w:rPr/>
              <w:t> </w:t>
            </w:r>
          </w:p>
        </w:tc>
      </w:tr>
      <w:tr>
        <w:trPr/>
        <w:tc>
          <w:tcPr>
            <w:tcW w:w="10141" w:type="dxa"/>
            <w:gridSpan w:val="6"/>
            <w:tcBorders/>
            <w:vAlign w:val="bottom"/>
          </w:tcPr>
          <w:p>
            <w:pPr>
              <w:pStyle w:val="TableContents"/>
              <w:bidi w:val="0"/>
              <w:spacing w:before="0" w:after="283"/>
              <w:jc w:val="center"/>
              <w:rPr/>
            </w:pPr>
            <w:r>
              <w:rPr/>
              <w:t>C</w:t>
            </w:r>
            <w:r>
              <w:rPr>
                <w:sz w:val="20"/>
              </w:rPr>
              <w:t>ONSOLIDATION</w:t>
            </w:r>
            <w:r>
              <w:rPr/>
              <w:t>, M</w:t>
            </w:r>
            <w:r>
              <w:rPr>
                <w:sz w:val="20"/>
              </w:rPr>
              <w:t>ERGER</w:t>
            </w:r>
            <w:r>
              <w:rPr/>
              <w:t>, S</w:t>
            </w:r>
            <w:r>
              <w:rPr>
                <w:sz w:val="20"/>
              </w:rPr>
              <w:t>ALE</w:t>
            </w:r>
            <w:r>
              <w:rPr/>
              <w:t>, C</w:t>
            </w:r>
            <w:r>
              <w:rPr>
                <w:sz w:val="20"/>
              </w:rPr>
              <w:t>ONVEYANCE</w:t>
            </w:r>
            <w:r>
              <w:rPr/>
              <w:t xml:space="preserve"> </w:t>
            </w:r>
            <w:r>
              <w:rPr>
                <w:sz w:val="20"/>
              </w:rPr>
              <w:t>AND</w:t>
            </w:r>
            <w:r>
              <w:rPr/>
              <w:t xml:space="preserve"> L</w:t>
            </w:r>
            <w:r>
              <w:rPr>
                <w:sz w:val="20"/>
              </w:rPr>
              <w:t>EASE</w:t>
            </w:r>
          </w:p>
        </w:tc>
        <w:tc>
          <w:tcPr>
            <w:tcW w:w="64" w:type="dxa"/>
            <w:tcBorders/>
            <w:vAlign w:val="bottom"/>
          </w:tcPr>
          <w:p>
            <w:pPr>
              <w:pStyle w:val="TableContents"/>
              <w:bidi w:val="0"/>
              <w:spacing w:before="0" w:after="0"/>
              <w:jc w:val="left"/>
              <w:rPr/>
            </w:pPr>
            <w:r>
              <w:rPr/>
              <w:t> </w:t>
            </w:r>
          </w:p>
        </w:tc>
      </w:tr>
      <w:tr>
        <w:trPr>
          <w:trHeight w:val="120" w:hRule="atLeast"/>
        </w:trPr>
        <w:tc>
          <w:tcPr>
            <w:tcW w:w="1809" w:type="dxa"/>
            <w:tcBorders/>
            <w:vAlign w:val="center"/>
          </w:tcPr>
          <w:p>
            <w:pPr>
              <w:pStyle w:val="TableContents"/>
              <w:bidi w:val="0"/>
              <w:spacing w:before="0" w:after="283"/>
              <w:jc w:val="left"/>
              <w:rPr>
                <w:sz w:val="4"/>
                <w:szCs w:val="4"/>
              </w:rPr>
            </w:pPr>
            <w:r>
              <w:rPr>
                <w:sz w:val="4"/>
                <w:szCs w:val="4"/>
              </w:rPr>
            </w:r>
          </w:p>
        </w:tc>
        <w:tc>
          <w:tcPr>
            <w:tcW w:w="784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vAlign w:val="bottom"/>
          </w:tcPr>
          <w:p>
            <w:pPr>
              <w:pStyle w:val="TableContents"/>
              <w:bidi w:val="0"/>
              <w:spacing w:before="0" w:after="283"/>
              <w:jc w:val="left"/>
              <w:rPr/>
            </w:pPr>
            <w:r>
              <w:rPr/>
              <w:t>Section 11.01.</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Company May Consolidate, Etc. on Certain Terms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62</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11.02.</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Successor Corporation to Be Substituted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11.03.</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Opinion of Counsel to Be Given to Trustee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pPr>
            <w:r>
              <w:rPr/>
              <w:t>ARTICLE 12</w:t>
            </w:r>
          </w:p>
        </w:tc>
        <w:tc>
          <w:tcPr>
            <w:tcW w:w="64" w:type="dxa"/>
            <w:tcBorders/>
            <w:vAlign w:val="bottom"/>
          </w:tcPr>
          <w:p>
            <w:pPr>
              <w:pStyle w:val="TableContents"/>
              <w:bidi w:val="0"/>
              <w:spacing w:before="0" w:after="0"/>
              <w:jc w:val="left"/>
              <w:rPr/>
            </w:pPr>
            <w:r>
              <w:rPr/>
              <w:t> </w:t>
            </w:r>
          </w:p>
        </w:tc>
      </w:tr>
      <w:tr>
        <w:trPr/>
        <w:tc>
          <w:tcPr>
            <w:tcW w:w="10141" w:type="dxa"/>
            <w:gridSpan w:val="6"/>
            <w:tcBorders/>
            <w:vAlign w:val="bottom"/>
          </w:tcPr>
          <w:p>
            <w:pPr>
              <w:pStyle w:val="TableContents"/>
              <w:bidi w:val="0"/>
              <w:spacing w:before="0" w:after="283"/>
              <w:jc w:val="center"/>
              <w:rPr/>
            </w:pPr>
            <w:r>
              <w:rPr/>
              <w:t>I</w:t>
            </w:r>
            <w:r>
              <w:rPr>
                <w:sz w:val="20"/>
              </w:rPr>
              <w:t>MMUNITY</w:t>
            </w:r>
            <w:r>
              <w:rPr/>
              <w:t xml:space="preserve"> </w:t>
            </w:r>
            <w:r>
              <w:rPr>
                <w:sz w:val="20"/>
              </w:rPr>
              <w:t>OF</w:t>
            </w:r>
            <w:r>
              <w:rPr/>
              <w:t xml:space="preserve"> I</w:t>
            </w:r>
            <w:r>
              <w:rPr>
                <w:sz w:val="20"/>
              </w:rPr>
              <w:t>NCORPORATORS</w:t>
            </w:r>
            <w:r>
              <w:rPr/>
              <w:t>, S</w:t>
            </w:r>
            <w:r>
              <w:rPr>
                <w:sz w:val="20"/>
              </w:rPr>
              <w:t>HAREHOLDERS</w:t>
            </w:r>
            <w:r>
              <w:rPr/>
              <w:t>, O</w:t>
            </w:r>
            <w:r>
              <w:rPr>
                <w:sz w:val="20"/>
              </w:rPr>
              <w:t>FFICERS</w:t>
            </w:r>
            <w:r>
              <w:rPr/>
              <w:t xml:space="preserve"> </w:t>
            </w:r>
            <w:r>
              <w:rPr>
                <w:sz w:val="20"/>
              </w:rPr>
              <w:t>AND</w:t>
            </w:r>
            <w:r>
              <w:rPr/>
              <w:t xml:space="preserve"> D</w:t>
            </w:r>
            <w:r>
              <w:rPr>
                <w:sz w:val="20"/>
              </w:rPr>
              <w:t>IRECTORS</w:t>
            </w:r>
          </w:p>
        </w:tc>
        <w:tc>
          <w:tcPr>
            <w:tcW w:w="64" w:type="dxa"/>
            <w:tcBorders/>
            <w:vAlign w:val="bottom"/>
          </w:tcPr>
          <w:p>
            <w:pPr>
              <w:pStyle w:val="TableContents"/>
              <w:bidi w:val="0"/>
              <w:spacing w:before="0" w:after="0"/>
              <w:jc w:val="left"/>
              <w:rPr/>
            </w:pPr>
            <w:r>
              <w:rPr/>
              <w:t xml:space="preserve">  </w:t>
            </w:r>
          </w:p>
        </w:tc>
      </w:tr>
      <w:tr>
        <w:trPr>
          <w:trHeight w:val="120" w:hRule="atLeast"/>
        </w:trPr>
        <w:tc>
          <w:tcPr>
            <w:tcW w:w="1809" w:type="dxa"/>
            <w:tcBorders/>
            <w:vAlign w:val="center"/>
          </w:tcPr>
          <w:p>
            <w:pPr>
              <w:pStyle w:val="TableContents"/>
              <w:bidi w:val="0"/>
              <w:spacing w:before="0" w:after="283"/>
              <w:jc w:val="left"/>
              <w:rPr>
                <w:sz w:val="4"/>
                <w:szCs w:val="4"/>
              </w:rPr>
            </w:pPr>
            <w:r>
              <w:rPr>
                <w:sz w:val="4"/>
                <w:szCs w:val="4"/>
              </w:rPr>
            </w:r>
          </w:p>
        </w:tc>
        <w:tc>
          <w:tcPr>
            <w:tcW w:w="784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vAlign w:val="bottom"/>
          </w:tcPr>
          <w:p>
            <w:pPr>
              <w:pStyle w:val="TableContents"/>
              <w:bidi w:val="0"/>
              <w:spacing w:before="0" w:after="283"/>
              <w:jc w:val="left"/>
              <w:rPr/>
            </w:pPr>
            <w:r>
              <w:rPr/>
              <w:t>Section 12.01.</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Indenture and Notes Solely Corporate Obligations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pPr>
            <w:r>
              <w:rPr/>
              <w:t>ARTICLE 13</w:t>
            </w:r>
          </w:p>
        </w:tc>
        <w:tc>
          <w:tcPr>
            <w:tcW w:w="64" w:type="dxa"/>
            <w:tcBorders/>
            <w:vAlign w:val="bottom"/>
          </w:tcPr>
          <w:p>
            <w:pPr>
              <w:pStyle w:val="TableContents"/>
              <w:bidi w:val="0"/>
              <w:spacing w:before="0" w:after="0"/>
              <w:jc w:val="left"/>
              <w:rPr/>
            </w:pPr>
            <w:r>
              <w:rPr/>
              <w:t> </w:t>
            </w:r>
          </w:p>
        </w:tc>
      </w:tr>
      <w:tr>
        <w:trPr/>
        <w:tc>
          <w:tcPr>
            <w:tcW w:w="10141" w:type="dxa"/>
            <w:gridSpan w:val="6"/>
            <w:tcBorders/>
            <w:vAlign w:val="bottom"/>
          </w:tcPr>
          <w:p>
            <w:pPr>
              <w:pStyle w:val="TableContents"/>
              <w:bidi w:val="0"/>
              <w:spacing w:before="0" w:after="283"/>
              <w:jc w:val="center"/>
              <w:rPr/>
            </w:pPr>
            <w:r>
              <w:rPr/>
              <w:t>[I</w:t>
            </w:r>
            <w:r>
              <w:rPr>
                <w:sz w:val="20"/>
              </w:rPr>
              <w:t>NTENTIONALLY</w:t>
            </w:r>
            <w:r>
              <w:rPr/>
              <w:t xml:space="preserve"> O</w:t>
            </w:r>
            <w:r>
              <w:rPr>
                <w:sz w:val="20"/>
              </w:rPr>
              <w:t>MITTED</w:t>
            </w:r>
            <w:r>
              <w:rPr/>
              <w:t>]</w:t>
            </w:r>
          </w:p>
        </w:tc>
        <w:tc>
          <w:tcPr>
            <w:tcW w:w="64" w:type="dxa"/>
            <w:tcBorders/>
            <w:vAlign w:val="bottom"/>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vAlign w:val="bottom"/>
          </w:tcPr>
          <w:p>
            <w:pPr>
              <w:pStyle w:val="TableContents"/>
              <w:bidi w:val="0"/>
              <w:spacing w:before="0" w:after="283"/>
              <w:jc w:val="center"/>
              <w:rPr/>
            </w:pPr>
            <w:r>
              <w:rPr/>
              <w:t>ARTICLE 14</w:t>
            </w:r>
          </w:p>
        </w:tc>
        <w:tc>
          <w:tcPr>
            <w:tcW w:w="64" w:type="dxa"/>
            <w:tcBorders/>
            <w:vAlign w:val="bottom"/>
          </w:tcPr>
          <w:p>
            <w:pPr>
              <w:pStyle w:val="TableContents"/>
              <w:bidi w:val="0"/>
              <w:spacing w:before="0" w:after="0"/>
              <w:jc w:val="left"/>
              <w:rPr/>
            </w:pPr>
            <w:r>
              <w:rPr/>
              <w:t> </w:t>
            </w:r>
          </w:p>
        </w:tc>
      </w:tr>
      <w:tr>
        <w:trPr/>
        <w:tc>
          <w:tcPr>
            <w:tcW w:w="10141" w:type="dxa"/>
            <w:gridSpan w:val="6"/>
            <w:tcBorders/>
            <w:vAlign w:val="bottom"/>
          </w:tcPr>
          <w:p>
            <w:pPr>
              <w:pStyle w:val="TableContents"/>
              <w:bidi w:val="0"/>
              <w:spacing w:before="0" w:after="283"/>
              <w:jc w:val="center"/>
              <w:rPr/>
            </w:pPr>
            <w:r>
              <w:rPr/>
              <w:t>C</w:t>
            </w:r>
            <w:r>
              <w:rPr>
                <w:sz w:val="20"/>
              </w:rPr>
              <w:t>ONVERSION</w:t>
            </w:r>
            <w:r>
              <w:rPr/>
              <w:t xml:space="preserve"> </w:t>
            </w:r>
            <w:r>
              <w:rPr>
                <w:sz w:val="20"/>
              </w:rPr>
              <w:t>OF</w:t>
            </w:r>
            <w:r>
              <w:rPr/>
              <w:t xml:space="preserve"> N</w:t>
            </w:r>
            <w:r>
              <w:rPr>
                <w:sz w:val="20"/>
              </w:rPr>
              <w:t>OTES</w:t>
            </w:r>
          </w:p>
        </w:tc>
        <w:tc>
          <w:tcPr>
            <w:tcW w:w="64" w:type="dxa"/>
            <w:tcBorders/>
            <w:vAlign w:val="bottom"/>
          </w:tcPr>
          <w:p>
            <w:pPr>
              <w:pStyle w:val="TableContents"/>
              <w:bidi w:val="0"/>
              <w:spacing w:before="0" w:after="0"/>
              <w:jc w:val="left"/>
              <w:rPr/>
            </w:pPr>
            <w:r>
              <w:rPr/>
              <w:t> </w:t>
            </w:r>
          </w:p>
        </w:tc>
      </w:tr>
      <w:tr>
        <w:trPr>
          <w:trHeight w:val="120" w:hRule="atLeast"/>
        </w:trPr>
        <w:tc>
          <w:tcPr>
            <w:tcW w:w="1809" w:type="dxa"/>
            <w:tcBorders/>
            <w:vAlign w:val="center"/>
          </w:tcPr>
          <w:p>
            <w:pPr>
              <w:pStyle w:val="TableContents"/>
              <w:bidi w:val="0"/>
              <w:spacing w:before="0" w:after="283"/>
              <w:jc w:val="left"/>
              <w:rPr>
                <w:sz w:val="4"/>
                <w:szCs w:val="4"/>
              </w:rPr>
            </w:pPr>
            <w:r>
              <w:rPr>
                <w:sz w:val="4"/>
                <w:szCs w:val="4"/>
              </w:rPr>
            </w:r>
          </w:p>
        </w:tc>
        <w:tc>
          <w:tcPr>
            <w:tcW w:w="7846" w:type="dxa"/>
            <w:gridSpan w:val="2"/>
            <w:tcBorders/>
            <w:vAlign w:val="center"/>
          </w:tcPr>
          <w:p>
            <w:pPr>
              <w:pStyle w:val="TableContents"/>
              <w:bidi w:val="0"/>
              <w:spacing w:before="0" w:after="283"/>
              <w:jc w:val="left"/>
              <w:rPr>
                <w:sz w:val="4"/>
                <w:szCs w:val="4"/>
              </w:rPr>
            </w:pPr>
            <w:r>
              <w:rPr>
                <w:sz w:val="4"/>
                <w:szCs w:val="4"/>
              </w:rPr>
            </w:r>
          </w:p>
        </w:tc>
        <w:tc>
          <w:tcPr>
            <w:tcW w:w="550" w:type="dxa"/>
            <w:gridSpan w:val="4"/>
            <w:tcBorders/>
            <w:vAlign w:val="center"/>
          </w:tcPr>
          <w:p>
            <w:pPr>
              <w:pStyle w:val="TableContents"/>
              <w:bidi w:val="0"/>
              <w:spacing w:before="0" w:after="283"/>
              <w:jc w:val="left"/>
              <w:rPr>
                <w:sz w:val="4"/>
                <w:szCs w:val="4"/>
              </w:rPr>
            </w:pPr>
            <w:r>
              <w:rPr>
                <w:sz w:val="4"/>
                <w:szCs w:val="4"/>
              </w:rPr>
            </w:r>
          </w:p>
        </w:tc>
      </w:tr>
      <w:tr>
        <w:trPr/>
        <w:tc>
          <w:tcPr>
            <w:tcW w:w="1809" w:type="dxa"/>
            <w:tcBorders/>
            <w:vAlign w:val="bottom"/>
          </w:tcPr>
          <w:p>
            <w:pPr>
              <w:pStyle w:val="TableContents"/>
              <w:bidi w:val="0"/>
              <w:spacing w:before="0" w:after="283"/>
              <w:jc w:val="left"/>
              <w:rPr/>
            </w:pPr>
            <w:r>
              <w:rPr/>
              <w:t>Section 14.01.</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Conversion Privilege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14.02.</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Conversion Procedure; Settlement Upon Conversion</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809" w:type="dxa"/>
            <w:tcBorders/>
          </w:tcPr>
          <w:p>
            <w:pPr>
              <w:pStyle w:val="TableContents"/>
              <w:bidi w:val="0"/>
              <w:spacing w:before="0" w:after="283"/>
              <w:jc w:val="left"/>
              <w:rPr/>
            </w:pPr>
            <w:r>
              <w:rPr/>
              <w:t>Section 14.03.</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Increased Conversion Rate Applicable to Certain Notes Surrendered in Connection with Make-Whole Fundamental Changes or Redemption Notice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14.04.</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Adjustment of Conversion Rate</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14.05.</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Adjustments of Prices</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09" w:type="dxa"/>
            <w:tcBorders/>
            <w:vAlign w:val="bottom"/>
          </w:tcPr>
          <w:p>
            <w:pPr>
              <w:pStyle w:val="TableContents"/>
              <w:bidi w:val="0"/>
              <w:spacing w:before="0" w:after="283"/>
              <w:jc w:val="left"/>
              <w:rPr/>
            </w:pPr>
            <w:r>
              <w:rPr/>
              <w:t>Section 14.06.</w:t>
            </w:r>
          </w:p>
        </w:tc>
        <w:tc>
          <w:tcPr>
            <w:tcW w:w="121" w:type="dxa"/>
            <w:tcBorders/>
            <w:vAlign w:val="bottom"/>
          </w:tcPr>
          <w:p>
            <w:pPr>
              <w:pStyle w:val="TableContents"/>
              <w:bidi w:val="0"/>
              <w:spacing w:before="0" w:after="283"/>
              <w:jc w:val="left"/>
              <w:rPr/>
            </w:pPr>
            <w:r>
              <w:rPr/>
              <w:t> </w:t>
            </w:r>
          </w:p>
        </w:tc>
        <w:tc>
          <w:tcPr>
            <w:tcW w:w="7725" w:type="dxa"/>
            <w:tcBorders/>
            <w:vAlign w:val="bottom"/>
          </w:tcPr>
          <w:p>
            <w:pPr>
              <w:pStyle w:val="TableContents"/>
              <w:bidi w:val="0"/>
              <w:spacing w:before="0" w:after="283"/>
              <w:jc w:val="left"/>
              <w:rPr>
                <w:i/>
              </w:rPr>
            </w:pPr>
            <w:r>
              <w:rPr>
                <w:i/>
              </w:rPr>
              <w:t>Shares to Be Fully Paid</w:t>
            </w:r>
          </w:p>
        </w:tc>
        <w:tc>
          <w:tcPr>
            <w:tcW w:w="16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10605" w:type="dxa"/>
        <w:jc w:val="center"/>
        <w:tblInd w:w="0" w:type="dxa"/>
        <w:tblLayout w:type="fixed"/>
        <w:tblCellMar>
          <w:top w:w="0" w:type="dxa"/>
          <w:left w:w="0" w:type="dxa"/>
          <w:bottom w:w="0" w:type="dxa"/>
          <w:right w:w="0" w:type="dxa"/>
        </w:tblCellMar>
      </w:tblPr>
      <w:tblGrid>
        <w:gridCol w:w="1325"/>
        <w:gridCol w:w="60"/>
        <w:gridCol w:w="8600"/>
        <w:gridCol w:w="120"/>
        <w:gridCol w:w="60"/>
        <w:gridCol w:w="380"/>
        <w:gridCol w:w="60"/>
      </w:tblGrid>
      <w:tr>
        <w:trPr/>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6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bottom"/>
          </w:tcPr>
          <w:p>
            <w:pPr>
              <w:pStyle w:val="TableContents"/>
              <w:bidi w:val="0"/>
              <w:spacing w:before="0" w:after="283"/>
              <w:jc w:val="left"/>
              <w:rPr/>
            </w:pPr>
            <w:r>
              <w:rPr/>
              <w:t>Section 14.07.</w:t>
            </w:r>
          </w:p>
        </w:tc>
        <w:tc>
          <w:tcPr>
            <w:tcW w:w="60" w:type="dxa"/>
            <w:tcBorders/>
            <w:vAlign w:val="bottom"/>
          </w:tcPr>
          <w:p>
            <w:pPr>
              <w:pStyle w:val="TableContents"/>
              <w:bidi w:val="0"/>
              <w:spacing w:before="0" w:after="283"/>
              <w:jc w:val="left"/>
              <w:rPr/>
            </w:pPr>
            <w:r>
              <w:rPr/>
              <w:t> </w:t>
            </w:r>
          </w:p>
        </w:tc>
        <w:tc>
          <w:tcPr>
            <w:tcW w:w="8600" w:type="dxa"/>
            <w:tcBorders/>
            <w:vAlign w:val="bottom"/>
          </w:tcPr>
          <w:p>
            <w:pPr>
              <w:pStyle w:val="TableContents"/>
              <w:bidi w:val="0"/>
              <w:spacing w:before="0" w:after="283"/>
              <w:jc w:val="left"/>
              <w:rPr>
                <w:i/>
              </w:rPr>
            </w:pPr>
            <w:r>
              <w:rPr>
                <w:i/>
              </w:rPr>
              <w:t>Effect of Recapitalizations, Reclassifications and Changes of the Ordinary Shares or ADSs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84</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14.08.</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Certain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14.09.</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Responsibility of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14.10.</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Termination of Depositary Receipt Program</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14.11.</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Shareholder Rights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87</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14.12.</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Exchange in lieu of conversion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88</w:t>
            </w:r>
          </w:p>
        </w:tc>
        <w:tc>
          <w:tcPr>
            <w:tcW w:w="60" w:type="dxa"/>
            <w:tcBorders/>
            <w:vAlign w:val="bottom"/>
          </w:tcPr>
          <w:p>
            <w:pPr>
              <w:pStyle w:val="TableContents"/>
              <w:bidi w:val="0"/>
              <w:spacing w:before="0" w:after="283"/>
              <w:jc w:val="left"/>
              <w:rPr/>
            </w:pPr>
            <w:r>
              <w:rPr/>
              <w:t> </w:t>
            </w:r>
          </w:p>
        </w:tc>
      </w:tr>
      <w:tr>
        <w:trPr>
          <w:trHeight w:val="120" w:hRule="atLeast"/>
        </w:trPr>
        <w:tc>
          <w:tcPr>
            <w:tcW w:w="10605" w:type="dxa"/>
            <w:gridSpan w:val="7"/>
            <w:tcBorders/>
            <w:vAlign w:val="center"/>
          </w:tcPr>
          <w:p>
            <w:pPr>
              <w:pStyle w:val="TableContents"/>
              <w:bidi w:val="0"/>
              <w:spacing w:before="0" w:after="283"/>
              <w:jc w:val="left"/>
              <w:rPr>
                <w:sz w:val="4"/>
                <w:szCs w:val="4"/>
              </w:rPr>
            </w:pPr>
            <w:r>
              <w:rPr>
                <w:sz w:val="4"/>
                <w:szCs w:val="4"/>
              </w:rPr>
            </w:r>
          </w:p>
        </w:tc>
      </w:tr>
      <w:tr>
        <w:trPr/>
        <w:tc>
          <w:tcPr>
            <w:tcW w:w="10545" w:type="dxa"/>
            <w:gridSpan w:val="6"/>
            <w:tcBorders/>
          </w:tcPr>
          <w:p>
            <w:pPr>
              <w:pStyle w:val="TableContents"/>
              <w:bidi w:val="0"/>
              <w:spacing w:before="0" w:after="283"/>
              <w:jc w:val="center"/>
              <w:rPr/>
            </w:pPr>
            <w:r>
              <w:rPr/>
              <w:t>ARTICLE 15</w:t>
            </w:r>
          </w:p>
        </w:tc>
        <w:tc>
          <w:tcPr>
            <w:tcW w:w="60" w:type="dxa"/>
            <w:tcBorders/>
          </w:tcPr>
          <w:p>
            <w:pPr>
              <w:pStyle w:val="TableContents"/>
              <w:bidi w:val="0"/>
              <w:spacing w:before="0" w:after="0"/>
              <w:jc w:val="left"/>
              <w:rPr/>
            </w:pPr>
            <w:r>
              <w:rPr/>
              <w:t> </w:t>
            </w:r>
          </w:p>
        </w:tc>
      </w:tr>
      <w:tr>
        <w:trPr/>
        <w:tc>
          <w:tcPr>
            <w:tcW w:w="10545" w:type="dxa"/>
            <w:gridSpan w:val="6"/>
            <w:tcBorders/>
          </w:tcPr>
          <w:p>
            <w:pPr>
              <w:pStyle w:val="TableContents"/>
              <w:bidi w:val="0"/>
              <w:spacing w:before="0" w:after="283"/>
              <w:jc w:val="center"/>
              <w:rPr/>
            </w:pPr>
            <w:r>
              <w:rPr/>
              <w:t>R</w:t>
            </w:r>
            <w:r>
              <w:rPr>
                <w:sz w:val="20"/>
              </w:rPr>
              <w:t>EPURCHASE</w:t>
            </w:r>
            <w:r>
              <w:rPr/>
              <w:t xml:space="preserve"> </w:t>
            </w:r>
            <w:r>
              <w:rPr>
                <w:sz w:val="20"/>
              </w:rPr>
              <w:t>OF</w:t>
            </w:r>
            <w:r>
              <w:rPr/>
              <w:t xml:space="preserve"> N</w:t>
            </w:r>
            <w:r>
              <w:rPr>
                <w:sz w:val="20"/>
              </w:rPr>
              <w:t>OTES</w:t>
            </w:r>
            <w:r>
              <w:rPr/>
              <w:t xml:space="preserve"> </w:t>
            </w:r>
            <w:r>
              <w:rPr>
                <w:sz w:val="20"/>
              </w:rPr>
              <w:t>AT</w:t>
            </w:r>
            <w:r>
              <w:rPr/>
              <w:t xml:space="preserve"> O</w:t>
            </w:r>
            <w:r>
              <w:rPr>
                <w:sz w:val="20"/>
              </w:rPr>
              <w:t>PTION</w:t>
            </w:r>
            <w:r>
              <w:rPr/>
              <w:t xml:space="preserve"> </w:t>
            </w:r>
            <w:r>
              <w:rPr>
                <w:sz w:val="20"/>
              </w:rPr>
              <w:t>OF</w:t>
            </w:r>
            <w:r>
              <w:rPr/>
              <w:t xml:space="preserve"> H</w:t>
            </w:r>
            <w:r>
              <w:rPr>
                <w:sz w:val="20"/>
              </w:rPr>
              <w:t>OLDERS</w:t>
            </w:r>
          </w:p>
        </w:tc>
        <w:tc>
          <w:tcPr>
            <w:tcW w:w="60" w:type="dxa"/>
            <w:tcBorders/>
          </w:tcPr>
          <w:p>
            <w:pPr>
              <w:pStyle w:val="TableContents"/>
              <w:bidi w:val="0"/>
              <w:spacing w:before="0" w:after="0"/>
              <w:jc w:val="left"/>
              <w:rPr/>
            </w:pPr>
            <w:r>
              <w:rPr/>
              <w:t xml:space="preserve">  </w:t>
            </w:r>
          </w:p>
        </w:tc>
      </w:tr>
      <w:tr>
        <w:trPr>
          <w:trHeight w:val="120" w:hRule="atLeast"/>
        </w:trPr>
        <w:tc>
          <w:tcPr>
            <w:tcW w:w="1325" w:type="dxa"/>
            <w:tcBorders/>
            <w:vAlign w:val="center"/>
          </w:tcPr>
          <w:p>
            <w:pPr>
              <w:pStyle w:val="TableContents"/>
              <w:bidi w:val="0"/>
              <w:spacing w:before="0" w:after="283"/>
              <w:jc w:val="left"/>
              <w:rPr>
                <w:sz w:val="4"/>
                <w:szCs w:val="4"/>
              </w:rPr>
            </w:pPr>
            <w:r>
              <w:rPr>
                <w:sz w:val="4"/>
                <w:szCs w:val="4"/>
              </w:rPr>
            </w:r>
          </w:p>
        </w:tc>
        <w:tc>
          <w:tcPr>
            <w:tcW w:w="866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tcPr>
          <w:p>
            <w:pPr>
              <w:pStyle w:val="TableContents"/>
              <w:bidi w:val="0"/>
              <w:spacing w:before="0" w:after="283"/>
              <w:jc w:val="left"/>
              <w:rPr/>
            </w:pPr>
            <w:r>
              <w:rPr/>
              <w:t>Section 15.01.</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Repurchase at Option of Holders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89</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15.02.</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Repurchase at Option of Holders Upon a Fundamental Change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91</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15.03.</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Withdrawal of Optional Repurchase Notice or Fundamental Change Repurchase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94</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15.04.</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Deposit of Optional Repurchase Price or Fundamental Change Repurchase Price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95</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15.05.</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Covenant to Comply with Applicable Laws Upon Repurchase of Notes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rHeight w:val="120" w:hRule="atLeast"/>
        </w:trPr>
        <w:tc>
          <w:tcPr>
            <w:tcW w:w="10605" w:type="dxa"/>
            <w:gridSpan w:val="7"/>
            <w:tcBorders/>
            <w:vAlign w:val="center"/>
          </w:tcPr>
          <w:p>
            <w:pPr>
              <w:pStyle w:val="TableContents"/>
              <w:bidi w:val="0"/>
              <w:spacing w:before="0" w:after="283"/>
              <w:jc w:val="left"/>
              <w:rPr>
                <w:sz w:val="4"/>
                <w:szCs w:val="4"/>
              </w:rPr>
            </w:pPr>
            <w:r>
              <w:rPr>
                <w:sz w:val="4"/>
                <w:szCs w:val="4"/>
              </w:rPr>
            </w:r>
          </w:p>
        </w:tc>
      </w:tr>
      <w:tr>
        <w:trPr/>
        <w:tc>
          <w:tcPr>
            <w:tcW w:w="10545" w:type="dxa"/>
            <w:gridSpan w:val="6"/>
            <w:tcBorders/>
          </w:tcPr>
          <w:p>
            <w:pPr>
              <w:pStyle w:val="TableContents"/>
              <w:bidi w:val="0"/>
              <w:spacing w:before="0" w:after="283"/>
              <w:jc w:val="center"/>
              <w:rPr/>
            </w:pPr>
            <w:r>
              <w:rPr/>
              <w:t>ARTICLE 16</w:t>
            </w:r>
          </w:p>
        </w:tc>
        <w:tc>
          <w:tcPr>
            <w:tcW w:w="60" w:type="dxa"/>
            <w:tcBorders/>
          </w:tcPr>
          <w:p>
            <w:pPr>
              <w:pStyle w:val="TableContents"/>
              <w:bidi w:val="0"/>
              <w:spacing w:before="0" w:after="0"/>
              <w:jc w:val="left"/>
              <w:rPr/>
            </w:pPr>
            <w:r>
              <w:rPr/>
              <w:t> </w:t>
            </w:r>
          </w:p>
        </w:tc>
      </w:tr>
      <w:tr>
        <w:trPr/>
        <w:tc>
          <w:tcPr>
            <w:tcW w:w="10545" w:type="dxa"/>
            <w:gridSpan w:val="6"/>
            <w:tcBorders/>
          </w:tcPr>
          <w:p>
            <w:pPr>
              <w:pStyle w:val="TableContents"/>
              <w:bidi w:val="0"/>
              <w:spacing w:before="0" w:after="283"/>
              <w:jc w:val="center"/>
              <w:rPr/>
            </w:pPr>
            <w:r>
              <w:rPr/>
              <w:t>O</w:t>
            </w:r>
            <w:r>
              <w:rPr>
                <w:sz w:val="20"/>
              </w:rPr>
              <w:t>PTIONAL</w:t>
            </w:r>
            <w:r>
              <w:rPr/>
              <w:t xml:space="preserve"> R</w:t>
            </w:r>
            <w:r>
              <w:rPr>
                <w:sz w:val="20"/>
              </w:rPr>
              <w:t>EDEMPTION</w:t>
            </w:r>
          </w:p>
        </w:tc>
        <w:tc>
          <w:tcPr>
            <w:tcW w:w="60" w:type="dxa"/>
            <w:tcBorders/>
          </w:tcPr>
          <w:p>
            <w:pPr>
              <w:pStyle w:val="TableContents"/>
              <w:bidi w:val="0"/>
              <w:spacing w:before="0" w:after="0"/>
              <w:jc w:val="left"/>
              <w:rPr/>
            </w:pPr>
            <w:r>
              <w:rPr/>
              <w:t> </w:t>
            </w:r>
          </w:p>
        </w:tc>
      </w:tr>
      <w:tr>
        <w:trPr>
          <w:trHeight w:val="120" w:hRule="atLeast"/>
        </w:trPr>
        <w:tc>
          <w:tcPr>
            <w:tcW w:w="1325" w:type="dxa"/>
            <w:tcBorders/>
            <w:vAlign w:val="center"/>
          </w:tcPr>
          <w:p>
            <w:pPr>
              <w:pStyle w:val="TableContents"/>
              <w:bidi w:val="0"/>
              <w:spacing w:before="0" w:after="283"/>
              <w:jc w:val="left"/>
              <w:rPr>
                <w:sz w:val="4"/>
                <w:szCs w:val="4"/>
              </w:rPr>
            </w:pPr>
            <w:r>
              <w:rPr>
                <w:sz w:val="4"/>
                <w:szCs w:val="4"/>
              </w:rPr>
            </w:r>
          </w:p>
        </w:tc>
        <w:tc>
          <w:tcPr>
            <w:tcW w:w="866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tcPr>
          <w:p>
            <w:pPr>
              <w:pStyle w:val="TableContents"/>
              <w:bidi w:val="0"/>
              <w:spacing w:before="0" w:after="283"/>
              <w:jc w:val="left"/>
              <w:rPr/>
            </w:pPr>
            <w:r>
              <w:rPr/>
              <w:t>Section 16.01.</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Optional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96</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16.02.</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Tax Redemption Notice and Provisional Redemption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98</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16.03.</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Holder’s Right to Elect in Connection with a Tax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16.04.</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Effect of Redemption Notice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100</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16.05.</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Deposit of Redemption Price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16.06.</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Partial Redemption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rHeight w:val="120" w:hRule="atLeast"/>
        </w:trPr>
        <w:tc>
          <w:tcPr>
            <w:tcW w:w="10605" w:type="dxa"/>
            <w:gridSpan w:val="7"/>
            <w:tcBorders/>
            <w:vAlign w:val="center"/>
          </w:tcPr>
          <w:p>
            <w:pPr>
              <w:pStyle w:val="TableContents"/>
              <w:bidi w:val="0"/>
              <w:spacing w:before="0" w:after="283"/>
              <w:jc w:val="left"/>
              <w:rPr>
                <w:sz w:val="4"/>
                <w:szCs w:val="4"/>
              </w:rPr>
            </w:pPr>
            <w:r>
              <w:rPr>
                <w:sz w:val="4"/>
                <w:szCs w:val="4"/>
              </w:rPr>
            </w:r>
          </w:p>
        </w:tc>
      </w:tr>
      <w:tr>
        <w:trPr/>
        <w:tc>
          <w:tcPr>
            <w:tcW w:w="10545" w:type="dxa"/>
            <w:gridSpan w:val="6"/>
            <w:tcBorders/>
          </w:tcPr>
          <w:p>
            <w:pPr>
              <w:pStyle w:val="TableContents"/>
              <w:bidi w:val="0"/>
              <w:spacing w:before="0" w:after="283"/>
              <w:jc w:val="center"/>
              <w:rPr/>
            </w:pPr>
            <w:r>
              <w:rPr/>
              <w:t>ARTICLE 17</w:t>
            </w:r>
          </w:p>
        </w:tc>
        <w:tc>
          <w:tcPr>
            <w:tcW w:w="60" w:type="dxa"/>
            <w:tcBorders/>
          </w:tcPr>
          <w:p>
            <w:pPr>
              <w:pStyle w:val="TableContents"/>
              <w:bidi w:val="0"/>
              <w:spacing w:before="0" w:after="0"/>
              <w:jc w:val="left"/>
              <w:rPr/>
            </w:pPr>
            <w:r>
              <w:rPr/>
              <w:t> </w:t>
            </w:r>
          </w:p>
        </w:tc>
      </w:tr>
      <w:tr>
        <w:trPr/>
        <w:tc>
          <w:tcPr>
            <w:tcW w:w="10545" w:type="dxa"/>
            <w:gridSpan w:val="6"/>
            <w:tcBorders/>
          </w:tcPr>
          <w:p>
            <w:pPr>
              <w:pStyle w:val="TableContents"/>
              <w:bidi w:val="0"/>
              <w:spacing w:before="0" w:after="283"/>
              <w:jc w:val="center"/>
              <w:rPr/>
            </w:pPr>
            <w:r>
              <w:rPr/>
              <w:t>M</w:t>
            </w:r>
            <w:r>
              <w:rPr>
                <w:sz w:val="20"/>
              </w:rPr>
              <w:t>ISCELLANEOUS</w:t>
            </w:r>
            <w:r>
              <w:rPr/>
              <w:t xml:space="preserve"> P</w:t>
            </w:r>
            <w:r>
              <w:rPr>
                <w:sz w:val="20"/>
              </w:rPr>
              <w:t>ROVISIONS</w:t>
            </w:r>
          </w:p>
        </w:tc>
        <w:tc>
          <w:tcPr>
            <w:tcW w:w="60" w:type="dxa"/>
            <w:tcBorders/>
          </w:tcPr>
          <w:p>
            <w:pPr>
              <w:pStyle w:val="TableContents"/>
              <w:bidi w:val="0"/>
              <w:spacing w:before="0" w:after="0"/>
              <w:jc w:val="left"/>
              <w:rPr/>
            </w:pPr>
            <w:r>
              <w:rPr/>
              <w:t> </w:t>
            </w:r>
          </w:p>
        </w:tc>
      </w:tr>
      <w:tr>
        <w:trPr>
          <w:trHeight w:val="120" w:hRule="atLeast"/>
        </w:trPr>
        <w:tc>
          <w:tcPr>
            <w:tcW w:w="1325" w:type="dxa"/>
            <w:tcBorders/>
            <w:vAlign w:val="center"/>
          </w:tcPr>
          <w:p>
            <w:pPr>
              <w:pStyle w:val="TableContents"/>
              <w:bidi w:val="0"/>
              <w:spacing w:before="0" w:after="283"/>
              <w:jc w:val="left"/>
              <w:rPr>
                <w:sz w:val="4"/>
                <w:szCs w:val="4"/>
              </w:rPr>
            </w:pPr>
            <w:r>
              <w:rPr>
                <w:sz w:val="4"/>
                <w:szCs w:val="4"/>
              </w:rPr>
            </w:r>
          </w:p>
        </w:tc>
        <w:tc>
          <w:tcPr>
            <w:tcW w:w="8660" w:type="dxa"/>
            <w:gridSpan w:val="2"/>
            <w:tcBorders/>
            <w:vAlign w:val="center"/>
          </w:tcPr>
          <w:p>
            <w:pPr>
              <w:pStyle w:val="TableContents"/>
              <w:bidi w:val="0"/>
              <w:spacing w:before="0" w:after="283"/>
              <w:jc w:val="left"/>
              <w:rPr>
                <w:sz w:val="4"/>
                <w:szCs w:val="4"/>
              </w:rPr>
            </w:pPr>
            <w:r>
              <w:rPr>
                <w:sz w:val="4"/>
                <w:szCs w:val="4"/>
              </w:rPr>
            </w:r>
          </w:p>
        </w:tc>
        <w:tc>
          <w:tcPr>
            <w:tcW w:w="620" w:type="dxa"/>
            <w:gridSpan w:val="4"/>
            <w:tcBorders/>
            <w:vAlign w:val="center"/>
          </w:tcPr>
          <w:p>
            <w:pPr>
              <w:pStyle w:val="TableContents"/>
              <w:bidi w:val="0"/>
              <w:spacing w:before="0" w:after="283"/>
              <w:jc w:val="left"/>
              <w:rPr>
                <w:sz w:val="4"/>
                <w:szCs w:val="4"/>
              </w:rPr>
            </w:pPr>
            <w:r>
              <w:rPr>
                <w:sz w:val="4"/>
                <w:szCs w:val="4"/>
              </w:rPr>
            </w:r>
          </w:p>
        </w:tc>
      </w:tr>
      <w:tr>
        <w:trPr/>
        <w:tc>
          <w:tcPr>
            <w:tcW w:w="1325" w:type="dxa"/>
            <w:tcBorders/>
          </w:tcPr>
          <w:p>
            <w:pPr>
              <w:pStyle w:val="TableContents"/>
              <w:bidi w:val="0"/>
              <w:spacing w:before="0" w:after="283"/>
              <w:jc w:val="left"/>
              <w:rPr/>
            </w:pPr>
            <w:r>
              <w:rPr/>
              <w:t>Section 17.01.</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Provisions Binding on Company’s Successors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17.02.</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Official Acts by Successor Corporation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17.03.</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Addresses for Notices,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101</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17.04.</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Governing Law; Jurisdiction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102</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17.05.</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Evidence of Compliance with Conditions Precedent; Certificates and Opinions of Counsel to Trustee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103</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17.06.</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Legal Holidays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17.07.</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No Security Interest Created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17.08.</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Benefits of Indenture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17.09.</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Table of Contents, Headings, Etc.</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17.10.</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Authenticating Agent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104</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17.11.</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Execution in Counterparts; Electronic Signatures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17.12.</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Severability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17.13.</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Waiver of Jury Trial</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105</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17.14.</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Force Majeure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17.15.</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Calculations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r>
        <w:trPr/>
        <w:tc>
          <w:tcPr>
            <w:tcW w:w="1325" w:type="dxa"/>
            <w:tcBorders/>
          </w:tcPr>
          <w:p>
            <w:pPr>
              <w:pStyle w:val="TableContents"/>
              <w:bidi w:val="0"/>
              <w:spacing w:before="0" w:after="283"/>
              <w:jc w:val="left"/>
              <w:rPr/>
            </w:pPr>
            <w:r>
              <w:rPr/>
              <w:t>Section 17.16.</w:t>
            </w:r>
          </w:p>
        </w:tc>
        <w:tc>
          <w:tcPr>
            <w:tcW w:w="60" w:type="dxa"/>
            <w:tcBorders/>
            <w:vAlign w:val="bottom"/>
          </w:tcPr>
          <w:p>
            <w:pPr>
              <w:pStyle w:val="TableContents"/>
              <w:bidi w:val="0"/>
              <w:spacing w:before="0" w:after="283"/>
              <w:jc w:val="left"/>
              <w:rPr/>
            </w:pPr>
            <w:r>
              <w:rPr/>
              <w:t> </w:t>
            </w:r>
          </w:p>
        </w:tc>
        <w:tc>
          <w:tcPr>
            <w:tcW w:w="8600" w:type="dxa"/>
            <w:tcBorders/>
          </w:tcPr>
          <w:p>
            <w:pPr>
              <w:pStyle w:val="TableContents"/>
              <w:bidi w:val="0"/>
              <w:spacing w:before="0" w:after="0"/>
              <w:jc w:val="left"/>
              <w:rPr>
                <w:rFonts w:ascii="Times New Roman" w:hAnsi="Times New Roman"/>
                <w:i/>
                <w:sz w:val="20"/>
              </w:rPr>
            </w:pPr>
            <w:r>
              <w:rPr>
                <w:rFonts w:ascii="Times New Roman" w:hAnsi="Times New Roman"/>
                <w:i/>
                <w:sz w:val="20"/>
              </w:rPr>
              <w:t>USA PATRIOT Act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0" w:type="dxa"/>
            <w:tcBorders/>
            <w:vAlign w:val="bottom"/>
          </w:tcPr>
          <w:p>
            <w:pPr>
              <w:pStyle w:val="TableContents"/>
              <w:bidi w:val="0"/>
              <w:spacing w:before="0" w:after="283"/>
              <w:jc w:val="right"/>
              <w:rPr/>
            </w:pPr>
            <w:r>
              <w:rPr/>
              <w:t>106</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11"/>
        <w:gridCol w:w="125"/>
        <w:gridCol w:w="7975"/>
        <w:gridCol w:w="160"/>
        <w:gridCol w:w="60"/>
        <w:gridCol w:w="409"/>
        <w:gridCol w:w="65"/>
      </w:tblGrid>
      <w:tr>
        <w:trPr/>
        <w:tc>
          <w:tcPr>
            <w:tcW w:w="1411"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97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411" w:type="dxa"/>
            <w:tcBorders/>
          </w:tcPr>
          <w:p>
            <w:pPr>
              <w:pStyle w:val="TableContents"/>
              <w:bidi w:val="0"/>
              <w:spacing w:before="0" w:after="283"/>
              <w:jc w:val="left"/>
              <w:rPr/>
            </w:pPr>
            <w:r>
              <w:rPr/>
              <w:t>Exhibit A</w:t>
            </w:r>
          </w:p>
        </w:tc>
        <w:tc>
          <w:tcPr>
            <w:tcW w:w="125" w:type="dxa"/>
            <w:tcBorders/>
            <w:vAlign w:val="bottom"/>
          </w:tcPr>
          <w:p>
            <w:pPr>
              <w:pStyle w:val="TableContents"/>
              <w:bidi w:val="0"/>
              <w:spacing w:before="0" w:after="283"/>
              <w:jc w:val="left"/>
              <w:rPr/>
            </w:pPr>
            <w:r>
              <w:rPr/>
              <w:t> </w:t>
            </w:r>
          </w:p>
        </w:tc>
        <w:tc>
          <w:tcPr>
            <w:tcW w:w="7975" w:type="dxa"/>
            <w:tcBorders/>
          </w:tcPr>
          <w:p>
            <w:pPr>
              <w:pStyle w:val="TableContents"/>
              <w:bidi w:val="0"/>
              <w:spacing w:before="0" w:after="283"/>
              <w:jc w:val="left"/>
              <w:rPr/>
            </w:pPr>
            <w:r>
              <w:rPr/>
              <w:t>Form of Note</w:t>
            </w:r>
          </w:p>
        </w:tc>
        <w:tc>
          <w:tcPr>
            <w:tcW w:w="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09" w:type="dxa"/>
            <w:tcBorders/>
            <w:vAlign w:val="bottom"/>
          </w:tcPr>
          <w:p>
            <w:pPr>
              <w:pStyle w:val="TableContents"/>
              <w:bidi w:val="0"/>
              <w:spacing w:before="0" w:after="283"/>
              <w:jc w:val="right"/>
              <w:rPr/>
            </w:pPr>
            <w:r>
              <w:rPr/>
              <w:t>A-1</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August 13, 2026 between SILICON MOTION TECHNOLOGY CORPORATION, a Cayman Islands exempted company, as issuer (the “</w:t>
      </w:r>
      <w:r>
        <w:rPr>
          <w:rFonts w:ascii="Times New Roman" w:hAnsi="Times New Roman"/>
          <w:b/>
          <w:sz w:val="20"/>
        </w:rPr>
        <w:t>Company</w:t>
      </w:r>
      <w:r>
        <w:rPr>
          <w:rFonts w:ascii="Times New Roman" w:hAnsi="Times New Roman"/>
          <w:sz w:val="20"/>
        </w:rPr>
        <w:t>,” as more fully set forth in Section 1.01) and U.S. BANK TRUST COMPANY, NATIONAL ASSOCIATION, a national banking association, as trustee (the “</w:t>
      </w:r>
      <w:r>
        <w:rPr>
          <w:rFonts w:ascii="Times New Roman" w:hAnsi="Times New Roman"/>
          <w:b/>
          <w:sz w:val="20"/>
        </w:rPr>
        <w:t>Trustee</w:t>
      </w:r>
      <w:r>
        <w:rPr>
          <w:rFonts w:ascii="Times New Roman" w:hAnsi="Times New Roman"/>
          <w:sz w:val="20"/>
        </w:rPr>
        <w:t xml:space="preserve">,” as more fully set forth in Section 1.01). </w:t>
      </w:r>
    </w:p>
    <w:p>
      <w:pPr>
        <w:pStyle w:val="TextBody"/>
        <w:bidi w:val="0"/>
        <w:spacing w:before="48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left"/>
        <w:rPr>
          <w:rFonts w:ascii="Times New Roman" w:hAnsi="Times New Roman"/>
          <w:sz w:val="20"/>
        </w:rPr>
      </w:pPr>
      <w:r>
        <w:rPr>
          <w:rFonts w:ascii="Times New Roman" w:hAnsi="Times New Roman"/>
          <w:sz w:val="20"/>
        </w:rPr>
        <w:t>WHEREAS, for its lawful corporate purposes, the Company has duly authorized the issuance of its 0.00% Convertible Senior Notes due 2031 (the “</w:t>
      </w:r>
      <w:r>
        <w:rPr>
          <w:rFonts w:ascii="Times New Roman" w:hAnsi="Times New Roman"/>
          <w:b/>
          <w:sz w:val="20"/>
        </w:rPr>
        <w:t>Notes</w:t>
      </w:r>
      <w:r>
        <w:rPr>
          <w:rFonts w:ascii="Times New Roman" w:hAnsi="Times New Roman"/>
          <w:sz w:val="20"/>
        </w:rPr>
        <w:t xml:space="preserve">”), initially in an aggregate principal amount not to exceed $1,150,000,000, and in order to provide the terms and conditions upon which the Notes are to be authenticated, issued and delivered, the Company has duly authorized the execution and delivery of this Indenture;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Form of Note, the certificate of authentication to be borne by each Note, the Form of Notice of Conversion, the Form of Fundamental Change Repurchase Notice, the Form of Optional Repurchase Notice, the Form of Assignment and Transfer and the Form of Notice of Tax Redemption Election to be borne by the Notes are to be substantially in the forms hereinafter provided;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acts and things necessary to make the Notes, when executed by the Company and authenticated and delivered by the Trustee or a duly authorized authenticating agent, as in this Indenture provided, the valid, binding and legal obligations of the Company, and this Indenture a valid agreement according to its terms, have been done and performed, and the execution of this Indenture and the issuance hereunder of the Notes have in all respects been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w:t>
      </w:r>
    </w:p>
    <w:p>
      <w:pPr>
        <w:pStyle w:val="TextBody"/>
        <w:bidi w:val="0"/>
        <w:spacing w:before="120" w:after="0"/>
        <w:jc w:val="left"/>
        <w:rPr>
          <w:rFonts w:ascii="Times New Roman" w:hAnsi="Times New Roman"/>
          <w:sz w:val="20"/>
        </w:rPr>
      </w:pPr>
      <w:r>
        <w:rPr>
          <w:rFonts w:ascii="Times New Roman" w:hAnsi="Times New Roman"/>
          <w:sz w:val="20"/>
        </w:rPr>
        <w:t xml:space="preserve">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1 </w:t>
      </w:r>
    </w:p>
    <w:p>
      <w:pPr>
        <w:pStyle w:val="TextBody"/>
        <w:bidi w:val="0"/>
        <w:spacing w:before="0" w:after="0"/>
        <w:jc w:val="center"/>
        <w:rPr>
          <w:rFonts w:ascii="Times New Roman" w:hAnsi="Times New Roman"/>
          <w:sz w:val="20"/>
        </w:rPr>
      </w:pPr>
      <w:r>
        <w:rPr>
          <w:rFonts w:ascii="Times New Roman" w:hAnsi="Times New Roman"/>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Section 1.01</w:t>
      </w:r>
      <w:r>
        <w:rPr>
          <w:rFonts w:ascii="Times New Roman" w:hAnsi="Times New Roman"/>
          <w:i/>
          <w:sz w:val="20"/>
        </w:rPr>
        <w:t>. Definitions.</w:t>
      </w:r>
      <w:r>
        <w:rPr>
          <w:rFonts w:ascii="Times New Roman" w:hAnsi="Times New Roman"/>
          <w:sz w:val="20"/>
        </w:rPr>
        <w:t xml:space="preserve">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 xml:space="preserve">1% Exception” </w:t>
      </w:r>
      <w:r>
        <w:rPr>
          <w:rFonts w:ascii="Times New Roman" w:hAnsi="Times New Roman"/>
          <w:sz w:val="20"/>
        </w:rPr>
        <w:t xml:space="preserve">means the provisions set forth in the second sentence of Section 14.04(j). </w:t>
      </w:r>
    </w:p>
    <w:p>
      <w:pPr>
        <w:pStyle w:val="TextBody"/>
        <w:bidi w:val="0"/>
        <w:spacing w:before="240" w:after="0"/>
        <w:jc w:val="left"/>
        <w:rPr/>
      </w:pPr>
      <w:r>
        <w:rPr/>
        <w:t>“</w:t>
      </w:r>
      <w:r>
        <w:rPr>
          <w:rFonts w:ascii="Times New Roman" w:hAnsi="Times New Roman"/>
          <w:b/>
          <w:sz w:val="20"/>
        </w:rPr>
        <w:t>Additional ADSs</w:t>
      </w:r>
      <w:r>
        <w:rPr>
          <w:rFonts w:ascii="Times New Roman" w:hAnsi="Times New Roman"/>
          <w:sz w:val="20"/>
        </w:rPr>
        <w:t xml:space="preserve">” shall have the meaning specified in Section 14.03(a). </w:t>
      </w:r>
    </w:p>
    <w:p>
      <w:pPr>
        <w:pStyle w:val="TextBody"/>
        <w:bidi w:val="0"/>
        <w:spacing w:before="240" w:after="0"/>
        <w:jc w:val="left"/>
        <w:rPr/>
      </w:pPr>
      <w:r>
        <w:rPr/>
        <w:t>“</w:t>
      </w:r>
      <w:r>
        <w:rPr>
          <w:rFonts w:ascii="Times New Roman" w:hAnsi="Times New Roman"/>
          <w:b/>
          <w:sz w:val="20"/>
        </w:rPr>
        <w:t>Additional Amounts</w:t>
      </w:r>
      <w:r>
        <w:rPr>
          <w:rFonts w:ascii="Times New Roman" w:hAnsi="Times New Roman"/>
          <w:sz w:val="20"/>
        </w:rPr>
        <w:t xml:space="preserve">” shall have the meaning specified in Section 4.10(a). </w:t>
      </w:r>
    </w:p>
    <w:p>
      <w:pPr>
        <w:pStyle w:val="TextBody"/>
        <w:bidi w:val="0"/>
        <w:spacing w:before="240" w:after="0"/>
        <w:jc w:val="left"/>
        <w:rPr/>
      </w:pPr>
      <w:r>
        <w:rPr/>
        <w:t>“</w:t>
      </w:r>
      <w:r>
        <w:rPr>
          <w:rFonts w:ascii="Times New Roman" w:hAnsi="Times New Roman"/>
          <w:b/>
          <w:sz w:val="20"/>
        </w:rPr>
        <w:t>ADS”</w:t>
      </w:r>
      <w:r>
        <w:rPr>
          <w:rFonts w:ascii="Times New Roman" w:hAnsi="Times New Roman"/>
          <w:sz w:val="20"/>
        </w:rPr>
        <w:t xml:space="preserve"> means an American Depositary Shares issued pursuant to the Deposit Agreement, representing four Ordinary Shares as of the date of this Indenture, and deposited with the ADS Custodian, subject to Section 14.07. </w:t>
      </w:r>
    </w:p>
    <w:p>
      <w:pPr>
        <w:pStyle w:val="TextBody"/>
        <w:bidi w:val="0"/>
        <w:spacing w:before="240" w:after="0"/>
        <w:jc w:val="left"/>
        <w:rPr/>
      </w:pPr>
      <w:r>
        <w:rPr/>
        <w:t>“</w:t>
      </w:r>
      <w:r>
        <w:rPr>
          <w:rFonts w:ascii="Times New Roman" w:hAnsi="Times New Roman"/>
          <w:b/>
          <w:sz w:val="20"/>
        </w:rPr>
        <w:t>ADS Custodian</w:t>
      </w:r>
      <w:r>
        <w:rPr>
          <w:rFonts w:ascii="Times New Roman" w:hAnsi="Times New Roman"/>
          <w:sz w:val="20"/>
        </w:rPr>
        <w:t xml:space="preserve">” means The Hongkong and Shanghai Banking Corporation Limited, with respect to the ADSs delivered pursuant to the Deposit Agreement, or any successor entity thereto. </w:t>
      </w:r>
    </w:p>
    <w:p>
      <w:pPr>
        <w:pStyle w:val="TextBody"/>
        <w:bidi w:val="0"/>
        <w:spacing w:before="240" w:after="0"/>
        <w:jc w:val="left"/>
        <w:rPr/>
      </w:pPr>
      <w:r>
        <w:rPr/>
        <w:t>“</w:t>
      </w:r>
      <w:r>
        <w:rPr>
          <w:rFonts w:ascii="Times New Roman" w:hAnsi="Times New Roman"/>
          <w:b/>
          <w:sz w:val="20"/>
        </w:rPr>
        <w:t>ADS Depositary</w:t>
      </w:r>
      <w:r>
        <w:rPr>
          <w:rFonts w:ascii="Times New Roman" w:hAnsi="Times New Roman"/>
          <w:sz w:val="20"/>
        </w:rPr>
        <w:t xml:space="preserve">” means Bank of New York Mellon, as depositary for the ADSs, or any successor entity thereto. </w:t>
      </w:r>
    </w:p>
    <w:p>
      <w:pPr>
        <w:pStyle w:val="TextBody"/>
        <w:bidi w:val="0"/>
        <w:spacing w:before="240" w:after="0"/>
        <w:jc w:val="left"/>
        <w:rPr/>
      </w:pPr>
      <w:r>
        <w:rPr/>
        <w:t>“</w:t>
      </w:r>
      <w:r>
        <w:rPr>
          <w:rFonts w:ascii="Times New Roman" w:hAnsi="Times New Roman"/>
          <w:b/>
          <w:sz w:val="20"/>
        </w:rPr>
        <w:t>ADS Price</w:t>
      </w:r>
      <w:r>
        <w:rPr>
          <w:rFonts w:ascii="Times New Roman" w:hAnsi="Times New Roman"/>
          <w:sz w:val="20"/>
        </w:rPr>
        <w:t xml:space="preserve">” shall have the meaning specified in Section 14.03(c).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or cause the direction of the management and policies of such Person, directly or indirectly, whether through the ownership of voting securities, by contract or otherwise; and the terms “controlling” and “controlled” have meanings correlative to the foregoing. Notwithstanding anything to the contrary herein, the determination of whether one Person is an “</w:t>
      </w:r>
      <w:r>
        <w:rPr>
          <w:rFonts w:ascii="Times New Roman" w:hAnsi="Times New Roman"/>
          <w:b/>
          <w:sz w:val="20"/>
        </w:rPr>
        <w:t>Affiliate</w:t>
      </w:r>
      <w:r>
        <w:rPr>
          <w:rFonts w:ascii="Times New Roman" w:hAnsi="Times New Roman"/>
          <w:sz w:val="20"/>
        </w:rPr>
        <w:t xml:space="preserve">” of another Person for purposes of this Indenture shall be made based on the facts at the time such determination is made or required to be made, as the case may be, hereunder. </w:t>
      </w:r>
    </w:p>
    <w:p>
      <w:pPr>
        <w:pStyle w:val="TextBody"/>
        <w:bidi w:val="0"/>
        <w:spacing w:before="240" w:after="0"/>
        <w:jc w:val="left"/>
        <w:rPr/>
      </w:pPr>
      <w:r>
        <w:rPr/>
        <w:t>“</w:t>
      </w:r>
      <w:r>
        <w:rPr>
          <w:rFonts w:ascii="Times New Roman" w:hAnsi="Times New Roman"/>
          <w:b/>
          <w:sz w:val="20"/>
        </w:rPr>
        <w:t>Applicable Taxes</w:t>
      </w:r>
      <w:r>
        <w:rPr>
          <w:rFonts w:ascii="Times New Roman" w:hAnsi="Times New Roman"/>
          <w:sz w:val="20"/>
        </w:rPr>
        <w:t xml:space="preserve">” shall have the meaning specified in Section 4.10(a). </w:t>
      </w:r>
    </w:p>
    <w:p>
      <w:pPr>
        <w:pStyle w:val="TextBody"/>
        <w:bidi w:val="0"/>
        <w:spacing w:before="240" w:after="0"/>
        <w:jc w:val="left"/>
        <w:rPr/>
      </w:pPr>
      <w:r>
        <w:rPr/>
        <w:t>“</w:t>
      </w:r>
      <w:r>
        <w:rPr>
          <w:rFonts w:ascii="Times New Roman" w:hAnsi="Times New Roman"/>
          <w:b/>
          <w:sz w:val="20"/>
        </w:rPr>
        <w:t>Bid Solicitation Agent</w:t>
      </w:r>
      <w:r>
        <w:rPr>
          <w:rFonts w:ascii="Times New Roman" w:hAnsi="Times New Roman"/>
          <w:sz w:val="20"/>
        </w:rPr>
        <w:t xml:space="preserve">” means the Company or the Person appointed by the Company to solicit bids for the Trading Price of the Notes in accordance with Section 14.01(b)(i). The Company shall initially act as the Bid Solicitation Agent. The Company may appoint another Person to act as Bid Solicitation Agent at any time without prior notice to Holders.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means the board of directors of the Company or a committee of such board duly authorized to act for it hereunder. </w:t>
      </w:r>
    </w:p>
    <w:p>
      <w:pPr>
        <w:pStyle w:val="TextBody"/>
        <w:bidi w:val="0"/>
        <w:spacing w:before="240" w:after="0"/>
        <w:jc w:val="left"/>
        <w:rPr/>
      </w:pPr>
      <w:r>
        <w:rPr/>
        <w:t>“</w:t>
      </w:r>
      <w:r>
        <w:rPr>
          <w:rFonts w:ascii="Times New Roman" w:hAnsi="Times New Roman"/>
          <w:b/>
          <w:sz w:val="20"/>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means, with respect to any Note, any day other than a Saturday, a Sunday or a day on which the Federal Reserve Bank of New York is authorized or required by law or executive order to close or be 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Called Notes</w:t>
      </w:r>
      <w:r>
        <w:rPr>
          <w:rFonts w:ascii="Times New Roman" w:hAnsi="Times New Roman"/>
          <w:sz w:val="20"/>
        </w:rPr>
        <w:t xml:space="preserve">” means Notes called for Redemption pursuant to Article 16 or subject to a Deemed Redemption.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for any entity, any and all shares, interests, rights to purchase, warrants, options, participations or other equivalents of or interests in (however designated) stock issued by that entity. </w:t>
      </w:r>
    </w:p>
    <w:p>
      <w:pPr>
        <w:pStyle w:val="TextBody"/>
        <w:bidi w:val="0"/>
        <w:spacing w:before="240" w:after="0"/>
        <w:jc w:val="left"/>
        <w:rPr/>
      </w:pPr>
      <w:r>
        <w:rPr/>
        <w:t>“</w:t>
      </w:r>
      <w:r>
        <w:rPr>
          <w:rFonts w:ascii="Times New Roman" w:hAnsi="Times New Roman"/>
          <w:b/>
          <w:sz w:val="20"/>
        </w:rPr>
        <w:t>Cash Percentage</w:t>
      </w:r>
      <w:r>
        <w:rPr>
          <w:rFonts w:ascii="Times New Roman" w:hAnsi="Times New Roman"/>
          <w:sz w:val="20"/>
        </w:rPr>
        <w:t xml:space="preserve">” shall have the meaning specified in Section 14.02(a)(i). </w:t>
      </w:r>
    </w:p>
    <w:p>
      <w:pPr>
        <w:pStyle w:val="TextBody"/>
        <w:bidi w:val="0"/>
        <w:spacing w:before="240" w:after="0"/>
        <w:jc w:val="left"/>
        <w:rPr/>
      </w:pPr>
      <w:r>
        <w:rPr/>
        <w:t>“</w:t>
      </w:r>
      <w:r>
        <w:rPr>
          <w:rFonts w:ascii="Times New Roman" w:hAnsi="Times New Roman"/>
          <w:b/>
          <w:sz w:val="20"/>
        </w:rPr>
        <w:t>Clause A Distribution</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Clause B Distribution</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Clause C Distribution</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close of business</w:t>
      </w:r>
      <w:r>
        <w:rPr>
          <w:rFonts w:ascii="Times New Roman" w:hAnsi="Times New Roman"/>
          <w:sz w:val="20"/>
        </w:rPr>
        <w:t xml:space="preserve">” means 5:00 p.m. (New York City time).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Commission</w:t>
      </w:r>
      <w:r>
        <w:rPr>
          <w:rFonts w:ascii="Times New Roman" w:hAnsi="Times New Roman"/>
          <w:sz w:val="20"/>
        </w:rPr>
        <w:t xml:space="preserve">” means the U.S. Securities and Exchange Commission. </w:t>
      </w:r>
    </w:p>
    <w:p>
      <w:pPr>
        <w:pStyle w:val="TextBody"/>
        <w:bidi w:val="0"/>
        <w:spacing w:before="240" w:after="0"/>
        <w:jc w:val="left"/>
        <w:rPr/>
      </w:pPr>
      <w:r>
        <w:rPr/>
        <w:t>“</w:t>
      </w:r>
      <w:r>
        <w:rPr>
          <w:rFonts w:ascii="Times New Roman" w:hAnsi="Times New Roman"/>
          <w:b/>
          <w:sz w:val="20"/>
        </w:rPr>
        <w:t>Common Equity</w:t>
      </w:r>
      <w:r>
        <w:rPr>
          <w:rFonts w:ascii="Times New Roman" w:hAnsi="Times New Roman"/>
          <w:sz w:val="20"/>
        </w:rPr>
        <w:t xml:space="preserve">” of any Person means Capital Stock of such Person that is generally entitled (a) to vote in the election of directors of such Person or (b) if such Person is not a corporation, to vote or otherwise participate in the selection of the governing body, partners, managers or others that will control the management or policies of such Person.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shall have the meaning specified in the first paragraph of this Indenture, and subject to the provisions of Article 11, shall include its successors and assigns. </w:t>
      </w:r>
    </w:p>
    <w:p>
      <w:pPr>
        <w:pStyle w:val="TextBody"/>
        <w:bidi w:val="0"/>
        <w:spacing w:before="240" w:after="0"/>
        <w:jc w:val="left"/>
        <w:rPr/>
      </w:pPr>
      <w:r>
        <w:rPr/>
        <w:t>“</w:t>
      </w:r>
      <w:r>
        <w:rPr>
          <w:rFonts w:ascii="Times New Roman" w:hAnsi="Times New Roman"/>
          <w:b/>
          <w:sz w:val="20"/>
        </w:rPr>
        <w:t>Company Notice</w:t>
      </w:r>
      <w:r>
        <w:rPr>
          <w:rFonts w:ascii="Times New Roman" w:hAnsi="Times New Roman"/>
          <w:sz w:val="20"/>
        </w:rPr>
        <w:t xml:space="preserve">” shall have the meaning specified in Section 15.01. </w:t>
      </w:r>
    </w:p>
    <w:p>
      <w:pPr>
        <w:pStyle w:val="TextBody"/>
        <w:bidi w:val="0"/>
        <w:spacing w:before="240" w:after="0"/>
        <w:jc w:val="left"/>
        <w:rPr/>
      </w:pPr>
      <w:r>
        <w:rPr/>
        <w:t>“</w:t>
      </w:r>
      <w:r>
        <w:rPr>
          <w:rFonts w:ascii="Times New Roman" w:hAnsi="Times New Roman"/>
          <w:b/>
          <w:sz w:val="20"/>
        </w:rPr>
        <w:t>Company Order</w:t>
      </w:r>
      <w:r>
        <w:rPr>
          <w:rFonts w:ascii="Times New Roman" w:hAnsi="Times New Roman"/>
          <w:sz w:val="20"/>
        </w:rPr>
        <w:t xml:space="preserve">” means a written order of the Company, signed by (a) the Company’s Chief Executive Officer, President, Executive or Senior Vice President or any Vice President (whether or not designated by a number or numbers or word or words added before or after the title “Vice President”) and (b) any such other Officer designated in clause (a) of this definition or the Company’s Chief Financial Officer, Treasurer or Assistant Treasurer, or Secretary or any Assistant Secretary, and delivered to the Trustee. </w:t>
      </w:r>
    </w:p>
    <w:p>
      <w:pPr>
        <w:pStyle w:val="TextBody"/>
        <w:bidi w:val="0"/>
        <w:spacing w:before="240" w:after="0"/>
        <w:jc w:val="left"/>
        <w:rPr/>
      </w:pPr>
      <w:r>
        <w:rPr/>
        <w:t>“</w:t>
      </w:r>
      <w:r>
        <w:rPr>
          <w:rFonts w:ascii="Times New Roman" w:hAnsi="Times New Roman"/>
          <w:b/>
          <w:sz w:val="20"/>
        </w:rPr>
        <w:t>Conversion Agent</w:t>
      </w:r>
      <w:r>
        <w:rPr>
          <w:rFonts w:ascii="Times New Roman" w:hAnsi="Times New Roman"/>
          <w:sz w:val="20"/>
        </w:rPr>
        <w:t xml:space="preserve">” shall have the meaning specified in Section 4.02. </w:t>
      </w:r>
    </w:p>
    <w:p>
      <w:pPr>
        <w:pStyle w:val="TextBody"/>
        <w:bidi w:val="0"/>
        <w:spacing w:before="240" w:after="0"/>
        <w:jc w:val="left"/>
        <w:rPr/>
      </w:pPr>
      <w:r>
        <w:rPr/>
        <w:t>“</w:t>
      </w:r>
      <w:r>
        <w:rPr>
          <w:rFonts w:ascii="Times New Roman" w:hAnsi="Times New Roman"/>
          <w:b/>
          <w:sz w:val="20"/>
        </w:rPr>
        <w:t>Conversion Consideration</w:t>
      </w:r>
      <w:r>
        <w:rPr>
          <w:rFonts w:ascii="Times New Roman" w:hAnsi="Times New Roman"/>
          <w:sz w:val="20"/>
        </w:rPr>
        <w:t xml:space="preserve">” shall have the meaning specified in Section 14.12(a). </w:t>
      </w:r>
    </w:p>
    <w:p>
      <w:pPr>
        <w:pStyle w:val="TextBody"/>
        <w:bidi w:val="0"/>
        <w:spacing w:before="240" w:after="0"/>
        <w:jc w:val="left"/>
        <w:rPr/>
      </w:pPr>
      <w:r>
        <w:rPr/>
        <w:t>“</w:t>
      </w:r>
      <w:r>
        <w:rPr>
          <w:rFonts w:ascii="Times New Roman" w:hAnsi="Times New Roman"/>
          <w:b/>
          <w:sz w:val="20"/>
        </w:rPr>
        <w:t>Conversion Date</w:t>
      </w:r>
      <w:r>
        <w:rPr>
          <w:rFonts w:ascii="Times New Roman" w:hAnsi="Times New Roman"/>
          <w:sz w:val="20"/>
        </w:rPr>
        <w:t xml:space="preserve">” shall have the meaning specified in Section 14.02(c). </w:t>
      </w:r>
    </w:p>
    <w:p>
      <w:pPr>
        <w:pStyle w:val="TextBody"/>
        <w:bidi w:val="0"/>
        <w:spacing w:before="240" w:after="0"/>
        <w:jc w:val="left"/>
        <w:rPr/>
      </w:pPr>
      <w:r>
        <w:rPr/>
        <w:t>“</w:t>
      </w:r>
      <w:r>
        <w:rPr>
          <w:rFonts w:ascii="Times New Roman" w:hAnsi="Times New Roman"/>
          <w:b/>
          <w:sz w:val="20"/>
        </w:rPr>
        <w:t>Conversion Obligation</w:t>
      </w:r>
      <w:r>
        <w:rPr>
          <w:rFonts w:ascii="Times New Roman" w:hAnsi="Times New Roman"/>
          <w:sz w:val="20"/>
        </w:rPr>
        <w:t xml:space="preserve">” shall have the meaning specified in Section 14.01(a). </w:t>
      </w:r>
    </w:p>
    <w:p>
      <w:pPr>
        <w:pStyle w:val="TextBody"/>
        <w:bidi w:val="0"/>
        <w:spacing w:before="240" w:after="0"/>
        <w:jc w:val="left"/>
        <w:rPr/>
      </w:pPr>
      <w:r>
        <w:rPr/>
        <w:t>“</w:t>
      </w:r>
      <w:r>
        <w:rPr>
          <w:rFonts w:ascii="Times New Roman" w:hAnsi="Times New Roman"/>
          <w:b/>
          <w:sz w:val="20"/>
        </w:rPr>
        <w:t>Conversion Price</w:t>
      </w:r>
      <w:r>
        <w:rPr>
          <w:rFonts w:ascii="Times New Roman" w:hAnsi="Times New Roman"/>
          <w:sz w:val="20"/>
        </w:rPr>
        <w:t xml:space="preserve">” means as of any time, $1,000, </w:t>
      </w:r>
      <w:r>
        <w:rPr>
          <w:rFonts w:ascii="Times New Roman" w:hAnsi="Times New Roman"/>
          <w:i/>
          <w:sz w:val="20"/>
        </w:rPr>
        <w:t>divided by</w:t>
      </w:r>
      <w:r>
        <w:rPr>
          <w:rFonts w:ascii="Times New Roman" w:hAnsi="Times New Roman"/>
          <w:sz w:val="20"/>
        </w:rPr>
        <w:t xml:space="preserve"> the Conversion Rate as of such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Conversion Rate</w:t>
      </w:r>
      <w:r>
        <w:rPr>
          <w:rFonts w:ascii="Times New Roman" w:hAnsi="Times New Roman"/>
          <w:sz w:val="20"/>
        </w:rPr>
        <w:t xml:space="preserve">” shall have the meaning specified in Section 14.01(a). </w:t>
      </w:r>
    </w:p>
    <w:p>
      <w:pPr>
        <w:pStyle w:val="TextBody"/>
        <w:bidi w:val="0"/>
        <w:spacing w:before="240" w:after="0"/>
        <w:jc w:val="left"/>
        <w:rPr/>
      </w:pPr>
      <w:r>
        <w:rPr/>
        <w:t>“</w:t>
      </w:r>
      <w:r>
        <w:rPr>
          <w:rFonts w:ascii="Times New Roman" w:hAnsi="Times New Roman"/>
          <w:b/>
          <w:sz w:val="20"/>
        </w:rPr>
        <w:t>Corporate Event</w:t>
      </w:r>
      <w:r>
        <w:rPr>
          <w:rFonts w:ascii="Times New Roman" w:hAnsi="Times New Roman"/>
          <w:sz w:val="20"/>
        </w:rPr>
        <w:t xml:space="preserve">” shall have the meaning specified in Section 14.01(b)(iii). </w:t>
      </w:r>
    </w:p>
    <w:p>
      <w:pPr>
        <w:pStyle w:val="TextBody"/>
        <w:bidi w:val="0"/>
        <w:spacing w:before="240" w:after="0"/>
        <w:jc w:val="left"/>
        <w:rPr/>
      </w:pPr>
      <w:r>
        <w:rPr/>
        <w:t>“</w:t>
      </w:r>
      <w:r>
        <w:rPr>
          <w:rFonts w:ascii="Times New Roman" w:hAnsi="Times New Roman"/>
          <w:b/>
          <w:sz w:val="20"/>
        </w:rPr>
        <w:t>Corporate Trust Office</w:t>
      </w:r>
      <w:r>
        <w:rPr>
          <w:rFonts w:ascii="Times New Roman" w:hAnsi="Times New Roman"/>
          <w:sz w:val="20"/>
        </w:rPr>
        <w:t xml:space="preserve">” means the designated office of the Trustee at which at any time this Indenture shall be administered, which office at the date hereof is located at U.S. Bank Trust Company, National Association, 333 Thornall St, Edison, NJ 08837, Attention: A. Casper (Silicon Motion Technology Corporation Administrator),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 </w:t>
      </w:r>
    </w:p>
    <w:p>
      <w:pPr>
        <w:pStyle w:val="TextBody"/>
        <w:bidi w:val="0"/>
        <w:spacing w:before="240" w:after="0"/>
        <w:jc w:val="left"/>
        <w:rPr/>
      </w:pPr>
      <w:r>
        <w:rPr/>
        <w:t>“</w:t>
      </w:r>
      <w:r>
        <w:rPr>
          <w:rFonts w:ascii="Times New Roman" w:hAnsi="Times New Roman"/>
          <w:b/>
          <w:sz w:val="20"/>
        </w:rPr>
        <w:t>Custodian</w:t>
      </w:r>
      <w:r>
        <w:rPr>
          <w:rFonts w:ascii="Times New Roman" w:hAnsi="Times New Roman"/>
          <w:sz w:val="20"/>
        </w:rPr>
        <w:t xml:space="preserve">” means the Trustee, as custodian for The Depository Trust Company, with respect to the Global Notes, or any successor entity thereto. </w:t>
      </w:r>
    </w:p>
    <w:p>
      <w:pPr>
        <w:pStyle w:val="TextBody"/>
        <w:bidi w:val="0"/>
        <w:spacing w:before="240" w:after="0"/>
        <w:jc w:val="left"/>
        <w:rPr/>
      </w:pPr>
      <w:r>
        <w:rPr/>
        <w:t>“</w:t>
      </w:r>
      <w:r>
        <w:rPr>
          <w:rFonts w:ascii="Times New Roman" w:hAnsi="Times New Roman"/>
          <w:b/>
          <w:sz w:val="20"/>
        </w:rPr>
        <w:t>Daily Conversion Value</w:t>
      </w:r>
      <w:r>
        <w:rPr>
          <w:rFonts w:ascii="Times New Roman" w:hAnsi="Times New Roman"/>
          <w:sz w:val="20"/>
        </w:rPr>
        <w:t xml:space="preserve">” means, for each of the 40 consecutive Trading Days during the Observation Period, 2.5% of the product of (a) the Conversion Rate on such Trading Day and (b) the Daily VWAP for such Trading Day. </w:t>
      </w:r>
    </w:p>
    <w:p>
      <w:pPr>
        <w:pStyle w:val="TextBody"/>
        <w:bidi w:val="0"/>
        <w:spacing w:before="240" w:after="0"/>
        <w:jc w:val="left"/>
        <w:rPr/>
      </w:pPr>
      <w:r>
        <w:rPr/>
        <w:t>“</w:t>
      </w:r>
      <w:r>
        <w:rPr>
          <w:rFonts w:ascii="Times New Roman" w:hAnsi="Times New Roman"/>
          <w:b/>
          <w:sz w:val="20"/>
        </w:rPr>
        <w:t>Daily Net Settlement Amount</w:t>
      </w:r>
      <w:r>
        <w:rPr>
          <w:rFonts w:ascii="Times New Roman" w:hAnsi="Times New Roman"/>
          <w:sz w:val="20"/>
        </w:rPr>
        <w:t xml:space="preserve">” means, for each of the 40 consecutive Trading Days during the relevant Observation Period: </w:t>
      </w:r>
    </w:p>
    <w:p>
      <w:pPr>
        <w:pStyle w:val="TextBody"/>
        <w:bidi w:val="0"/>
        <w:spacing w:before="120" w:after="0"/>
        <w:jc w:val="left"/>
        <w:rPr>
          <w:rFonts w:ascii="Times New Roman" w:hAnsi="Times New Roman"/>
          <w:sz w:val="20"/>
        </w:rPr>
      </w:pPr>
      <w:r>
        <w:rPr>
          <w:rFonts w:ascii="Times New Roman" w:hAnsi="Times New Roman"/>
          <w:sz w:val="20"/>
        </w:rPr>
        <w:t xml:space="preserve">(a) if the Company does not elect a Cash Percentage as set forth herein or if the Company elects (or is deemed to have elected) a Cash Percentage of 0%, a number of ADSs equal to (i) the difference between the Daily Conversion Value and $25, </w:t>
      </w:r>
      <w:r>
        <w:rPr>
          <w:rFonts w:ascii="Times New Roman" w:hAnsi="Times New Roman"/>
          <w:i/>
          <w:sz w:val="20"/>
        </w:rPr>
        <w:t>divided by</w:t>
      </w:r>
      <w:r>
        <w:rPr>
          <w:rFonts w:ascii="Times New Roman" w:hAnsi="Times New Roman"/>
          <w:sz w:val="20"/>
        </w:rPr>
        <w:t xml:space="preserve"> (ii) the Daily VWAP for such Trading Day; </w:t>
      </w:r>
    </w:p>
    <w:p>
      <w:pPr>
        <w:pStyle w:val="TextBody"/>
        <w:bidi w:val="0"/>
        <w:spacing w:before="120" w:after="0"/>
        <w:jc w:val="left"/>
        <w:rPr>
          <w:rFonts w:ascii="Times New Roman" w:hAnsi="Times New Roman"/>
          <w:sz w:val="20"/>
        </w:rPr>
      </w:pPr>
      <w:r>
        <w:rPr>
          <w:rFonts w:ascii="Times New Roman" w:hAnsi="Times New Roman"/>
          <w:sz w:val="20"/>
        </w:rPr>
        <w:t xml:space="preserve">(b) if the Company elects a Cash Percentage of 100% as set forth herein, cash in an amount equal to the difference between the Daily Conversion Value and $25; or </w:t>
      </w:r>
    </w:p>
    <w:p>
      <w:pPr>
        <w:pStyle w:val="TextBody"/>
        <w:bidi w:val="0"/>
        <w:spacing w:before="120" w:after="0"/>
        <w:jc w:val="left"/>
        <w:rPr>
          <w:rFonts w:ascii="Times New Roman" w:hAnsi="Times New Roman"/>
          <w:sz w:val="20"/>
        </w:rPr>
      </w:pPr>
      <w:r>
        <w:rPr>
          <w:rFonts w:ascii="Times New Roman" w:hAnsi="Times New Roman"/>
          <w:sz w:val="20"/>
        </w:rPr>
        <w:t xml:space="preserve">(c) if the Company elects a Cash Percentage of less than 100% as set forth herein but greater than 0%, (i) cash in an amount equal to the product of (x) the difference between the Daily Conversion Value and $25 and (y) the Cash Percentage and (ii) a number of ADSs equal to the product of (x)(A) the difference between the Daily Conversion Value and $25, </w:t>
      </w:r>
      <w:r>
        <w:rPr>
          <w:rFonts w:ascii="Times New Roman" w:hAnsi="Times New Roman"/>
          <w:i/>
          <w:sz w:val="20"/>
        </w:rPr>
        <w:t>divided by</w:t>
      </w:r>
      <w:r>
        <w:rPr>
          <w:rFonts w:ascii="Times New Roman" w:hAnsi="Times New Roman"/>
          <w:sz w:val="20"/>
        </w:rPr>
        <w:t xml:space="preserve"> (B) the Daily VWAP for such Trading Day and (y) 100% </w:t>
      </w:r>
      <w:r>
        <w:rPr>
          <w:rFonts w:ascii="Times New Roman" w:hAnsi="Times New Roman"/>
          <w:i/>
          <w:sz w:val="20"/>
        </w:rPr>
        <w:t>minus</w:t>
      </w:r>
      <w:r>
        <w:rPr>
          <w:rFonts w:ascii="Times New Roman" w:hAnsi="Times New Roman"/>
          <w:sz w:val="20"/>
        </w:rPr>
        <w:t xml:space="preserve"> the Cash Percentage. </w:t>
      </w:r>
    </w:p>
    <w:p>
      <w:pPr>
        <w:pStyle w:val="TextBody"/>
        <w:bidi w:val="0"/>
        <w:spacing w:before="240" w:after="0"/>
        <w:jc w:val="left"/>
        <w:rPr/>
      </w:pPr>
      <w:r>
        <w:rPr/>
        <w:t>“</w:t>
      </w:r>
      <w:r>
        <w:rPr>
          <w:rFonts w:ascii="Times New Roman" w:hAnsi="Times New Roman"/>
          <w:b/>
          <w:sz w:val="20"/>
        </w:rPr>
        <w:t>Daily Settlement Amount</w:t>
      </w:r>
      <w:r>
        <w:rPr>
          <w:rFonts w:ascii="Times New Roman" w:hAnsi="Times New Roman"/>
          <w:sz w:val="20"/>
        </w:rPr>
        <w:t xml:space="preserve">,” for each of the 40 consecutive Trading Days during the Observation Period, shall consist of: </w:t>
      </w:r>
    </w:p>
    <w:p>
      <w:pPr>
        <w:pStyle w:val="TextBody"/>
        <w:bidi w:val="0"/>
        <w:spacing w:before="120" w:after="0"/>
        <w:jc w:val="left"/>
        <w:rPr>
          <w:rFonts w:ascii="Times New Roman" w:hAnsi="Times New Roman"/>
          <w:sz w:val="20"/>
        </w:rPr>
      </w:pPr>
      <w:r>
        <w:rPr>
          <w:rFonts w:ascii="Times New Roman" w:hAnsi="Times New Roman"/>
          <w:sz w:val="20"/>
        </w:rPr>
        <w:t xml:space="preserve">(a) cash in an amount equal to the lesser of (i) $25 and (ii) the Daily Conversion Value on such Trading Day; and </w:t>
      </w:r>
    </w:p>
    <w:p>
      <w:pPr>
        <w:pStyle w:val="TextBody"/>
        <w:bidi w:val="0"/>
        <w:spacing w:before="120" w:after="0"/>
        <w:jc w:val="left"/>
        <w:rPr>
          <w:rFonts w:ascii="Times New Roman" w:hAnsi="Times New Roman"/>
          <w:sz w:val="20"/>
        </w:rPr>
      </w:pPr>
      <w:r>
        <w:rPr>
          <w:rFonts w:ascii="Times New Roman" w:hAnsi="Times New Roman"/>
          <w:sz w:val="20"/>
        </w:rPr>
        <w:t xml:space="preserve">(b) if the Daily Conversion Value on such Trading Day exceeds $25, the Daily Net Settlement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Daily VWAP</w:t>
      </w:r>
      <w:r>
        <w:rPr>
          <w:rFonts w:ascii="Times New Roman" w:hAnsi="Times New Roman"/>
          <w:sz w:val="20"/>
        </w:rPr>
        <w:t>” means, for each of the 40 consecutive Trading Days during the relevant Observation Period, the per share volume-weighted average price as displayed under the heading “Bloomberg VWAP” on Bloomberg page “SIMO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ADS on such Trading Day determined, using a volume-weighted average method, by a nationally recognized independent investment banking firm retained for this purpose by the Company). The “</w:t>
      </w:r>
      <w:r>
        <w:rPr>
          <w:rFonts w:ascii="Times New Roman" w:hAnsi="Times New Roman"/>
          <w:b/>
          <w:sz w:val="20"/>
        </w:rPr>
        <w:t>Daily VWAP</w:t>
      </w:r>
      <w:r>
        <w:rPr>
          <w:rFonts w:ascii="Times New Roman" w:hAnsi="Times New Roman"/>
          <w:sz w:val="20"/>
        </w:rPr>
        <w:t xml:space="preserve">” shall be determined without regard to after-hours trading or any other trading outside of the regular trading session trading hours. </w:t>
      </w:r>
    </w:p>
    <w:p>
      <w:pPr>
        <w:pStyle w:val="TextBody"/>
        <w:bidi w:val="0"/>
        <w:spacing w:before="240" w:after="0"/>
        <w:jc w:val="left"/>
        <w:rPr/>
      </w:pPr>
      <w:r>
        <w:rPr/>
        <w:t>“</w:t>
      </w:r>
      <w:r>
        <w:rPr>
          <w:rFonts w:ascii="Times New Roman" w:hAnsi="Times New Roman"/>
          <w:b/>
          <w:sz w:val="20"/>
        </w:rPr>
        <w:t>Deemed Redemption</w:t>
      </w:r>
      <w:r>
        <w:rPr>
          <w:rFonts w:ascii="Times New Roman" w:hAnsi="Times New Roman"/>
          <w:sz w:val="20"/>
        </w:rPr>
        <w:t xml:space="preserve">” shall have the meaning specified in Section 14.01(b)(v).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that is, or after notice or passage of time, or both, would be, an Event of Default. </w:t>
      </w:r>
    </w:p>
    <w:p>
      <w:pPr>
        <w:pStyle w:val="TextBody"/>
        <w:bidi w:val="0"/>
        <w:spacing w:before="240" w:after="0"/>
        <w:jc w:val="left"/>
        <w:rPr/>
      </w:pPr>
      <w:r>
        <w:rPr/>
        <w:t>“</w:t>
      </w:r>
      <w:r>
        <w:rPr>
          <w:rFonts w:ascii="Times New Roman" w:hAnsi="Times New Roman"/>
          <w:b/>
          <w:sz w:val="20"/>
        </w:rPr>
        <w:t>Defaulted Amounts</w:t>
      </w:r>
      <w:r>
        <w:rPr>
          <w:rFonts w:ascii="Times New Roman" w:hAnsi="Times New Roman"/>
          <w:sz w:val="20"/>
        </w:rPr>
        <w:t xml:space="preserve">” means any amounts on any Note (including, without limitation, the Redemption Price, the Optional Repurchase Price, the Fundamental Change Repurchase Price, principal and Special Interest, if any) that are payable but are not punctually paid or duly provided for. </w:t>
      </w:r>
    </w:p>
    <w:p>
      <w:pPr>
        <w:pStyle w:val="TextBody"/>
        <w:bidi w:val="0"/>
        <w:spacing w:before="240" w:after="0"/>
        <w:jc w:val="left"/>
        <w:rPr/>
      </w:pPr>
      <w:r>
        <w:rPr/>
        <w:t>“</w:t>
      </w:r>
      <w:r>
        <w:rPr>
          <w:rFonts w:ascii="Times New Roman" w:hAnsi="Times New Roman"/>
          <w:b/>
          <w:sz w:val="20"/>
        </w:rPr>
        <w:t>Deposit Agreement</w:t>
      </w:r>
      <w:r>
        <w:rPr>
          <w:rFonts w:ascii="Times New Roman" w:hAnsi="Times New Roman"/>
          <w:sz w:val="20"/>
        </w:rPr>
        <w:t xml:space="preserve">” means the Amended and Restated Deposit Agreement, dated as of December 12, 2013, among the Company, the ADS Depositary, and the holders and owners from time to time of the ADSs issued or delivered thereunder or, if amended or supplemented as provided therein, as so amended or supplemented. </w:t>
      </w:r>
    </w:p>
    <w:p>
      <w:pPr>
        <w:pStyle w:val="TextBody"/>
        <w:bidi w:val="0"/>
        <w:spacing w:before="240" w:after="0"/>
        <w:jc w:val="left"/>
        <w:rPr/>
      </w:pPr>
      <w:r>
        <w:rPr/>
        <w:t>“</w:t>
      </w:r>
      <w:r>
        <w:rPr>
          <w:rFonts w:ascii="Times New Roman" w:hAnsi="Times New Roman"/>
          <w:b/>
          <w:sz w:val="20"/>
        </w:rPr>
        <w:t>Depositary</w:t>
      </w:r>
      <w:r>
        <w:rPr>
          <w:rFonts w:ascii="Times New Roman" w:hAnsi="Times New Roman"/>
          <w:sz w:val="20"/>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Times New Roman" w:hAnsi="Times New Roman"/>
          <w:b/>
          <w:sz w:val="20"/>
        </w:rPr>
        <w:t>Depositary</w:t>
      </w:r>
      <w:r>
        <w:rPr>
          <w:rFonts w:ascii="Times New Roman" w:hAnsi="Times New Roman"/>
          <w:sz w:val="20"/>
        </w:rPr>
        <w:t xml:space="preserve">” shall mean or include such successor. </w:t>
      </w:r>
    </w:p>
    <w:p>
      <w:pPr>
        <w:pStyle w:val="TextBody"/>
        <w:bidi w:val="0"/>
        <w:spacing w:before="240" w:after="0"/>
        <w:jc w:val="left"/>
        <w:rPr/>
      </w:pPr>
      <w:r>
        <w:rPr/>
        <w:t>“</w:t>
      </w:r>
      <w:r>
        <w:rPr>
          <w:rFonts w:ascii="Times New Roman" w:hAnsi="Times New Roman"/>
          <w:b/>
          <w:sz w:val="20"/>
        </w:rPr>
        <w:t>Designated Financial Institution</w:t>
      </w:r>
      <w:r>
        <w:rPr>
          <w:rFonts w:ascii="Times New Roman" w:hAnsi="Times New Roman"/>
          <w:sz w:val="20"/>
        </w:rPr>
        <w:t xml:space="preserve">” shall have the meaning specified in Section 14.12(a). </w:t>
      </w:r>
    </w:p>
    <w:p>
      <w:pPr>
        <w:pStyle w:val="TextBody"/>
        <w:bidi w:val="0"/>
        <w:spacing w:before="240" w:after="0"/>
        <w:jc w:val="left"/>
        <w:rPr/>
      </w:pPr>
      <w:r>
        <w:rPr/>
        <w:t>“</w:t>
      </w:r>
      <w:r>
        <w:rPr>
          <w:rFonts w:ascii="Times New Roman" w:hAnsi="Times New Roman"/>
          <w:b/>
          <w:sz w:val="20"/>
        </w:rPr>
        <w:t>Distributed Property</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shall have the meaning specified in Section 14.03(c), except that, as used in Section 14.04 and Section 14.05, “</w:t>
      </w:r>
      <w:r>
        <w:rPr>
          <w:rFonts w:ascii="Times New Roman" w:hAnsi="Times New Roman"/>
          <w:b/>
          <w:sz w:val="20"/>
        </w:rPr>
        <w:t>Effective Date</w:t>
      </w:r>
      <w:r>
        <w:rPr>
          <w:rFonts w:ascii="Times New Roman" w:hAnsi="Times New Roman"/>
          <w:sz w:val="20"/>
        </w:rPr>
        <w:t xml:space="preserve">” means the first date on which the ADSs trade on the applicable exchange or in the applicable market, regular way, reflecting the relevant share split or share combination, as applicable. For the avoidance of doubt, any alternative trading convention on the applicable exchange or market in respect of the ADSs under a separate ticker symbol or CUSIP number will not be considered “regular way” for this purpose.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shall have the meaning specified in Section 6.01. </w:t>
      </w:r>
    </w:p>
    <w:p>
      <w:pPr>
        <w:pStyle w:val="TextBody"/>
        <w:bidi w:val="0"/>
        <w:spacing w:before="240" w:after="0"/>
        <w:jc w:val="left"/>
        <w:rPr/>
      </w:pPr>
      <w:r>
        <w:rPr/>
        <w:t>“</w:t>
      </w:r>
      <w:r>
        <w:rPr>
          <w:rFonts w:ascii="Times New Roman" w:hAnsi="Times New Roman"/>
          <w:b/>
          <w:sz w:val="20"/>
        </w:rPr>
        <w:t>Ex-Dividend Date</w:t>
      </w:r>
      <w:r>
        <w:rPr>
          <w:rFonts w:ascii="Times New Roman" w:hAnsi="Times New Roman"/>
          <w:sz w:val="20"/>
        </w:rPr>
        <w:t xml:space="preserve">” means the first date on which the ADSs trade on the applicable exchange or in the applicable market, regular way, without the right to receive the issuance, dividend or distribution in question, from the Company or, if applicable, from the seller of the ADSs on such exchange or market (in the form of due bills or otherwise) as determined by such exchange or market. For the avoidance of doubt, any alternative trading convention on the applicable exchange or market in respect of the ADSs under a separate ticker symbol or CUSIP number will not be considered “regular way” for this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and the rules and regulations promulgated thereunder. </w:t>
      </w:r>
    </w:p>
    <w:p>
      <w:pPr>
        <w:pStyle w:val="TextBody"/>
        <w:bidi w:val="0"/>
        <w:spacing w:before="240" w:after="0"/>
        <w:jc w:val="left"/>
        <w:rPr/>
      </w:pPr>
      <w:r>
        <w:rPr/>
        <w:t>“</w:t>
      </w:r>
      <w:r>
        <w:rPr>
          <w:rFonts w:ascii="Times New Roman" w:hAnsi="Times New Roman"/>
          <w:b/>
          <w:sz w:val="20"/>
        </w:rPr>
        <w:t>Exchange Election</w:t>
      </w:r>
      <w:r>
        <w:rPr>
          <w:rFonts w:ascii="Times New Roman" w:hAnsi="Times New Roman"/>
          <w:sz w:val="20"/>
        </w:rPr>
        <w:t xml:space="preserve">” shall have the meaning specified in Section 14.12(a). </w:t>
      </w:r>
    </w:p>
    <w:p>
      <w:pPr>
        <w:pStyle w:val="TextBody"/>
        <w:bidi w:val="0"/>
        <w:spacing w:before="240" w:after="0"/>
        <w:jc w:val="left"/>
        <w:rPr/>
      </w:pPr>
      <w:r>
        <w:rPr/>
        <w:t>“</w:t>
      </w:r>
      <w:r>
        <w:rPr>
          <w:rFonts w:ascii="Times New Roman" w:hAnsi="Times New Roman"/>
          <w:b/>
          <w:sz w:val="20"/>
        </w:rPr>
        <w:t>Excluded Holder</w:t>
      </w:r>
      <w:r>
        <w:rPr>
          <w:rFonts w:ascii="Times New Roman" w:hAnsi="Times New Roman"/>
          <w:sz w:val="20"/>
        </w:rPr>
        <w:t xml:space="preserve">” shall have the meaning specified in Section 16.03(b). </w:t>
      </w:r>
    </w:p>
    <w:p>
      <w:pPr>
        <w:pStyle w:val="TextBody"/>
        <w:bidi w:val="0"/>
        <w:spacing w:before="240" w:after="0"/>
        <w:jc w:val="left"/>
        <w:rPr/>
      </w:pPr>
      <w:r>
        <w:rPr/>
        <w:t>“</w:t>
      </w:r>
      <w:r>
        <w:rPr>
          <w:rFonts w:ascii="Times New Roman" w:hAnsi="Times New Roman"/>
          <w:b/>
          <w:sz w:val="20"/>
        </w:rPr>
        <w:t>Exempted Fundamental Change</w:t>
      </w:r>
      <w:r>
        <w:rPr>
          <w:rFonts w:ascii="Times New Roman" w:hAnsi="Times New Roman"/>
          <w:sz w:val="20"/>
        </w:rPr>
        <w:t xml:space="preserve">” means a Fundamental Change with respect to which the Company does not offer to repurchase any Notes in accordance with Section 15.02(f). </w:t>
      </w:r>
    </w:p>
    <w:p>
      <w:pPr>
        <w:pStyle w:val="TextBody"/>
        <w:bidi w:val="0"/>
        <w:spacing w:before="240" w:after="0"/>
        <w:jc w:val="left"/>
        <w:rPr/>
      </w:pPr>
      <w:r>
        <w:rPr/>
        <w:t>“</w:t>
      </w:r>
      <w:r>
        <w:rPr>
          <w:rFonts w:ascii="Times New Roman" w:hAnsi="Times New Roman"/>
          <w:b/>
          <w:sz w:val="20"/>
        </w:rPr>
        <w:t>Expiration Date</w:t>
      </w:r>
      <w:r>
        <w:rPr>
          <w:rFonts w:ascii="Times New Roman" w:hAnsi="Times New Roman"/>
          <w:sz w:val="20"/>
        </w:rPr>
        <w:t xml:space="preserve">” shall have the meaning specified in Section 14.04(e). </w:t>
      </w:r>
    </w:p>
    <w:p>
      <w:pPr>
        <w:pStyle w:val="TextBody"/>
        <w:bidi w:val="0"/>
        <w:spacing w:before="240" w:after="0"/>
        <w:jc w:val="left"/>
        <w:rPr/>
      </w:pPr>
      <w:r>
        <w:rPr/>
        <w:t>“</w:t>
      </w:r>
      <w:r>
        <w:rPr>
          <w:rFonts w:ascii="Times New Roman" w:hAnsi="Times New Roman"/>
          <w:b/>
          <w:sz w:val="20"/>
        </w:rPr>
        <w:t>Expiring Rights</w:t>
      </w:r>
      <w:r>
        <w:rPr>
          <w:rFonts w:ascii="Times New Roman" w:hAnsi="Times New Roman"/>
          <w:sz w:val="20"/>
        </w:rPr>
        <w:t xml:space="preserve">” means any rights, options or warrants to purchase Ordinary Shares or the ADSs that expire on or prior to the Maturity Date.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shall have the meaning specified in Section 4.10(a)(i)(E). </w:t>
      </w:r>
    </w:p>
    <w:p>
      <w:pPr>
        <w:pStyle w:val="TextBody"/>
        <w:bidi w:val="0"/>
        <w:spacing w:before="240" w:after="0"/>
        <w:jc w:val="left"/>
        <w:rPr/>
      </w:pPr>
      <w:r>
        <w:rPr/>
        <w:t>“</w:t>
      </w:r>
      <w:r>
        <w:rPr>
          <w:rFonts w:ascii="Times New Roman" w:hAnsi="Times New Roman"/>
          <w:b/>
          <w:sz w:val="20"/>
        </w:rPr>
        <w:t>Form of Assignment and Transfer</w:t>
      </w:r>
      <w:r>
        <w:rPr>
          <w:rFonts w:ascii="Times New Roman" w:hAnsi="Times New Roman"/>
          <w:sz w:val="20"/>
        </w:rPr>
        <w:t xml:space="preserve">” means the “Form of Assignment and Transfer” attached as Attachment 4 to the Form of Note attached hereto as Exhibit A. </w:t>
      </w:r>
    </w:p>
    <w:p>
      <w:pPr>
        <w:pStyle w:val="TextBody"/>
        <w:bidi w:val="0"/>
        <w:spacing w:before="240" w:after="0"/>
        <w:jc w:val="left"/>
        <w:rPr/>
      </w:pPr>
      <w:r>
        <w:rPr/>
        <w:t>“</w:t>
      </w:r>
      <w:r>
        <w:rPr>
          <w:rFonts w:ascii="Times New Roman" w:hAnsi="Times New Roman"/>
          <w:b/>
          <w:sz w:val="20"/>
        </w:rPr>
        <w:t>Form of Fundamental Change Repurchase Notice</w:t>
      </w:r>
      <w:r>
        <w:rPr>
          <w:rFonts w:ascii="Times New Roman" w:hAnsi="Times New Roman"/>
          <w:sz w:val="20"/>
        </w:rPr>
        <w:t xml:space="preserve">” means the “Form of Fundamental Change Repurchase Notice” attached as Attachment 2 to the Form of Note attached hereto as Exhibit A. </w:t>
      </w:r>
    </w:p>
    <w:p>
      <w:pPr>
        <w:pStyle w:val="TextBody"/>
        <w:bidi w:val="0"/>
        <w:spacing w:before="240" w:after="0"/>
        <w:jc w:val="left"/>
        <w:rPr/>
      </w:pPr>
      <w:r>
        <w:rPr/>
        <w:t>“</w:t>
      </w:r>
      <w:r>
        <w:rPr>
          <w:rFonts w:ascii="Times New Roman" w:hAnsi="Times New Roman"/>
          <w:b/>
          <w:sz w:val="20"/>
        </w:rPr>
        <w:t>Form of Note</w:t>
      </w:r>
      <w:r>
        <w:rPr>
          <w:rFonts w:ascii="Times New Roman" w:hAnsi="Times New Roman"/>
          <w:sz w:val="20"/>
        </w:rPr>
        <w:t xml:space="preserve">” means the “Form of Note” attached hereto as Exhibit A. </w:t>
      </w:r>
    </w:p>
    <w:p>
      <w:pPr>
        <w:pStyle w:val="TextBody"/>
        <w:bidi w:val="0"/>
        <w:spacing w:before="240" w:after="0"/>
        <w:jc w:val="left"/>
        <w:rPr/>
      </w:pPr>
      <w:r>
        <w:rPr/>
        <w:t>“</w:t>
      </w:r>
      <w:r>
        <w:rPr>
          <w:rFonts w:ascii="Times New Roman" w:hAnsi="Times New Roman"/>
          <w:b/>
          <w:sz w:val="20"/>
        </w:rPr>
        <w:t>Form of Notice of Conversion</w:t>
      </w:r>
      <w:r>
        <w:rPr>
          <w:rFonts w:ascii="Times New Roman" w:hAnsi="Times New Roman"/>
          <w:sz w:val="20"/>
        </w:rPr>
        <w:t xml:space="preserve">” means the “Form of Notice of Conversion” attached as Attachment 1 to the Form of Note attached hereto as Exhibit A. </w:t>
      </w:r>
    </w:p>
    <w:p>
      <w:pPr>
        <w:pStyle w:val="TextBody"/>
        <w:bidi w:val="0"/>
        <w:spacing w:before="240" w:after="0"/>
        <w:jc w:val="left"/>
        <w:rPr/>
      </w:pPr>
      <w:r>
        <w:rPr/>
        <w:t>“</w:t>
      </w:r>
      <w:r>
        <w:rPr>
          <w:rFonts w:ascii="Times New Roman" w:hAnsi="Times New Roman"/>
          <w:b/>
          <w:sz w:val="20"/>
        </w:rPr>
        <w:t>Form of Notice of Tax Redemption Election</w:t>
      </w:r>
      <w:r>
        <w:rPr>
          <w:rFonts w:ascii="Times New Roman" w:hAnsi="Times New Roman"/>
          <w:sz w:val="20"/>
        </w:rPr>
        <w:t xml:space="preserve">” means the “Form of Notice of Tax Redemption Election” attached as Attachment 5 to the Form of Note attached hereto as Exhibit A. </w:t>
      </w:r>
    </w:p>
    <w:p>
      <w:pPr>
        <w:pStyle w:val="TextBody"/>
        <w:bidi w:val="0"/>
        <w:spacing w:before="240" w:after="0"/>
        <w:jc w:val="left"/>
        <w:rPr/>
      </w:pPr>
      <w:r>
        <w:rPr/>
        <w:t>“</w:t>
      </w:r>
      <w:r>
        <w:rPr>
          <w:rFonts w:ascii="Times New Roman" w:hAnsi="Times New Roman"/>
          <w:b/>
          <w:sz w:val="20"/>
        </w:rPr>
        <w:t>Form of Optional Repurchase Notice</w:t>
      </w:r>
      <w:r>
        <w:rPr>
          <w:rFonts w:ascii="Times New Roman" w:hAnsi="Times New Roman"/>
          <w:sz w:val="20"/>
        </w:rPr>
        <w:t xml:space="preserve">” means the “Form of Optional Repurchase Notice” attached as Attachment 3 to the Form of Note attached hereto as Exhibit A. </w:t>
      </w:r>
    </w:p>
    <w:p>
      <w:pPr>
        <w:pStyle w:val="TextBody"/>
        <w:bidi w:val="0"/>
        <w:spacing w:before="240" w:after="0"/>
        <w:jc w:val="left"/>
        <w:rPr/>
      </w:pPr>
      <w:r>
        <w:rPr/>
        <w:t>“</w:t>
      </w:r>
      <w:r>
        <w:rPr>
          <w:rFonts w:ascii="Times New Roman" w:hAnsi="Times New Roman"/>
          <w:b/>
          <w:sz w:val="20"/>
        </w:rPr>
        <w:t>Fundamental Change</w:t>
      </w:r>
      <w:r>
        <w:rPr>
          <w:rFonts w:ascii="Times New Roman" w:hAnsi="Times New Roman"/>
          <w:sz w:val="20"/>
        </w:rPr>
        <w:t xml:space="preserve">” shall be deemed to have occurred at the time after the Notes are originally issued if any of the following occurs: </w:t>
      </w:r>
    </w:p>
    <w:p>
      <w:pPr>
        <w:pStyle w:val="TextBody"/>
        <w:bidi w:val="0"/>
        <w:spacing w:before="120" w:after="0"/>
        <w:jc w:val="left"/>
        <w:rPr>
          <w:rFonts w:ascii="Times New Roman" w:hAnsi="Times New Roman"/>
          <w:sz w:val="20"/>
        </w:rPr>
      </w:pPr>
      <w:r>
        <w:rPr>
          <w:rFonts w:ascii="Times New Roman" w:hAnsi="Times New Roman"/>
          <w:sz w:val="20"/>
        </w:rPr>
        <w:t xml:space="preserve">(a) a “person” or “group” within the meaning of Section 13(d) of the Exchange Act, other than the Company, its Wholly Owned Subsidiaries and the employee benefit plans of the Company and its Wholly Owned Subsidiaries, files a Schedule TO (or any successor schedule, form or report) or any schedule, form or report under the Exchange Act disclosing that such “person” or “group” has become the direct or indirect “beneficial owner,” as defined in Rule 13d-3 under the Exchange Act, of more than 50% of outstanding ADSs;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consummation of (A) any recapitalization, reclassification or change of the Ordinary Shares or the ADSs (other than changes resulting from a subdivision or combination) as a result of which the Ordinary Shares or the ADSs would be converted into, or exchanged for, stock, other securities, other property or assets; (B) any share exchange, consolidation or merger of the Company pursuant to which the Ordinary Shares or the ADSs will be converted into cash, securities or other property or assets; or (C) any sale, lease or other transfer in one transaction or a series of transactions of all or substantially all of the consolidated assets of the Company and its Subsidiaries, taken as a whole, to any Person other than one of the Company’s Wholly Owned Subsidiaries; </w:t>
      </w:r>
      <w:r>
        <w:rPr>
          <w:rFonts w:ascii="Times New Roman" w:hAnsi="Times New Roman"/>
          <w:i/>
          <w:sz w:val="20"/>
        </w:rPr>
        <w:t>provided, however</w:t>
      </w:r>
      <w:r>
        <w:rPr>
          <w:rFonts w:ascii="Times New Roman" w:hAnsi="Times New Roman"/>
          <w:sz w:val="20"/>
        </w:rPr>
        <w:t xml:space="preserve">, that a transaction described in clause (A) or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 </w:t>
      </w:r>
    </w:p>
    <w:p>
      <w:pPr>
        <w:pStyle w:val="TextBody"/>
        <w:bidi w:val="0"/>
        <w:spacing w:before="120" w:after="0"/>
        <w:jc w:val="left"/>
        <w:rPr>
          <w:rFonts w:ascii="Times New Roman" w:hAnsi="Times New Roman"/>
          <w:sz w:val="20"/>
        </w:rPr>
      </w:pPr>
      <w:r>
        <w:rPr>
          <w:rFonts w:ascii="Times New Roman" w:hAnsi="Times New Roman"/>
          <w:sz w:val="20"/>
        </w:rPr>
        <w:t xml:space="preserve">(c) the shareholders of the Company approve any plan or proposal for the liquidation or dissolution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(d) the ADSs (or other Common Equity or American depositary shares in respect of Common Equity underlying the Notes) cease to be listed or quoted on any of The New York Stock Exchange, The Nasdaq Global Select Market or The Nasdaq Global Market (or any of their respective successors);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transaction or transactions described in clause (a) or clause (b) above shall not constitute a Fundamental Change, if at least 90% of the consideration received or to be received by the holders of the ADSs, excluding cash payments for fractional ADSs and cash payments made in respect of dissenters’ statutory appraisal rights, in connection with such transaction or transactions consists of shares of Common Equity (or American depositary shares in respect of shares of Common Equity) that are listed or quoted on any of The New York Stock Exchange, The Nasdaq Global Select Market or The Nasdaq Global Market (or any of their respective successors) or will be so listed or quoted when issued or exchanged in connection with such transaction or transactions and as a result of such transaction or transactions, such consideration, excluding cash payments for fractional ADSs and cash payments made in respect of dissenters’ statutory appraisal rights becomes the Reference Property (subject to the provisions of Section 14.02(a)). If any transaction in which the ADSs or the Ordinary Shares are replaced by the securities of another entity occurs, following completion of any related Make-Whole Fundamental Change Period (or, in the case of a transaction that would have been a Fundamental Change or a Make-Whole Fundamental Change but for the </w:t>
      </w:r>
      <w:r>
        <w:rPr>
          <w:rFonts w:ascii="Times New Roman" w:hAnsi="Times New Roman"/>
          <w:i/>
          <w:sz w:val="20"/>
        </w:rPr>
        <w:t>proviso</w:t>
      </w:r>
      <w:r>
        <w:rPr>
          <w:rFonts w:ascii="Times New Roman" w:hAnsi="Times New Roman"/>
          <w:sz w:val="20"/>
        </w:rPr>
        <w:t xml:space="preserve"> immediately following clause (d) of this definition, following the effective date of such transaction) references to the Company in this definition shall instead be references to such other entity. For purposes of this definition of “Fundamental Change,” any transaction or event described in both clause (a) and in clause (b) above (without regard to the </w:t>
      </w:r>
      <w:r>
        <w:rPr>
          <w:rFonts w:ascii="Times New Roman" w:hAnsi="Times New Roman"/>
          <w:i/>
          <w:sz w:val="20"/>
        </w:rPr>
        <w:t>proviso</w:t>
      </w:r>
      <w:r>
        <w:rPr>
          <w:rFonts w:ascii="Times New Roman" w:hAnsi="Times New Roman"/>
          <w:sz w:val="20"/>
        </w:rPr>
        <w:t xml:space="preserve"> in clause (b)) shall be deemed to occur solely pursuant to clause (b) above (subject to such </w:t>
      </w:r>
      <w:r>
        <w:rPr>
          <w:rFonts w:ascii="Times New Roman" w:hAnsi="Times New Roman"/>
          <w:i/>
          <w:sz w:val="20"/>
        </w:rPr>
        <w:t>proviso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Fundamental Change Company Notice</w:t>
      </w:r>
      <w:r>
        <w:rPr>
          <w:rFonts w:ascii="Times New Roman" w:hAnsi="Times New Roman"/>
          <w:sz w:val="20"/>
        </w:rPr>
        <w:t xml:space="preserve">” shall have the meaning specified in Section 15.02(c). </w:t>
      </w:r>
    </w:p>
    <w:p>
      <w:pPr>
        <w:pStyle w:val="TextBody"/>
        <w:bidi w:val="0"/>
        <w:spacing w:before="240" w:after="0"/>
        <w:jc w:val="left"/>
        <w:rPr/>
      </w:pPr>
      <w:r>
        <w:rPr/>
        <w:t>“</w:t>
      </w:r>
      <w:r>
        <w:rPr>
          <w:rFonts w:ascii="Times New Roman" w:hAnsi="Times New Roman"/>
          <w:b/>
          <w:sz w:val="20"/>
        </w:rPr>
        <w:t>Fundamental Change Repurchase Date</w:t>
      </w:r>
      <w:r>
        <w:rPr>
          <w:rFonts w:ascii="Times New Roman" w:hAnsi="Times New Roman"/>
          <w:sz w:val="20"/>
        </w:rPr>
        <w:t xml:space="preserve">” shall have the meaning specified in Section 15.02(a). </w:t>
      </w:r>
    </w:p>
    <w:p>
      <w:pPr>
        <w:pStyle w:val="TextBody"/>
        <w:bidi w:val="0"/>
        <w:spacing w:before="240" w:after="0"/>
        <w:jc w:val="left"/>
        <w:rPr/>
      </w:pPr>
      <w:r>
        <w:rPr/>
        <w:t>“</w:t>
      </w:r>
      <w:r>
        <w:rPr>
          <w:rFonts w:ascii="Times New Roman" w:hAnsi="Times New Roman"/>
          <w:b/>
          <w:sz w:val="20"/>
        </w:rPr>
        <w:t>Fundamental Change Repurchase Notice</w:t>
      </w:r>
      <w:r>
        <w:rPr>
          <w:rFonts w:ascii="Times New Roman" w:hAnsi="Times New Roman"/>
          <w:sz w:val="20"/>
        </w:rPr>
        <w:t xml:space="preserve">” shall have the meaning specified in Section 15.02(b)(i). </w:t>
      </w:r>
    </w:p>
    <w:p>
      <w:pPr>
        <w:pStyle w:val="TextBody"/>
        <w:bidi w:val="0"/>
        <w:spacing w:before="240" w:after="0"/>
        <w:jc w:val="left"/>
        <w:rPr/>
      </w:pPr>
      <w:r>
        <w:rPr/>
        <w:t>“</w:t>
      </w:r>
      <w:r>
        <w:rPr>
          <w:rFonts w:ascii="Times New Roman" w:hAnsi="Times New Roman"/>
          <w:b/>
          <w:sz w:val="20"/>
        </w:rPr>
        <w:t>Fundamental Change Repurchase Price</w:t>
      </w:r>
      <w:r>
        <w:rPr>
          <w:rFonts w:ascii="Times New Roman" w:hAnsi="Times New Roman"/>
          <w:sz w:val="20"/>
        </w:rPr>
        <w:t xml:space="preserve">” shall have the meaning specified in Section 15.02(a). </w:t>
      </w:r>
    </w:p>
    <w:p>
      <w:pPr>
        <w:pStyle w:val="TextBody"/>
        <w:bidi w:val="0"/>
        <w:spacing w:before="240" w:after="0"/>
        <w:jc w:val="left"/>
        <w:rPr>
          <w:rFonts w:ascii="Times New Roman" w:hAnsi="Times New Roman"/>
          <w:sz w:val="20"/>
        </w:rPr>
      </w:pPr>
      <w:r>
        <w:rPr>
          <w:rFonts w:ascii="Times New Roman" w:hAnsi="Times New Roman"/>
          <w:sz w:val="20"/>
        </w:rPr>
        <w:t>The terms “</w:t>
      </w:r>
      <w:r>
        <w:rPr>
          <w:rFonts w:ascii="Times New Roman" w:hAnsi="Times New Roman"/>
          <w:b/>
          <w:sz w:val="20"/>
        </w:rPr>
        <w:t>given</w:t>
      </w:r>
      <w:r>
        <w:rPr>
          <w:rFonts w:ascii="Times New Roman" w:hAnsi="Times New Roman"/>
          <w:sz w:val="20"/>
        </w:rPr>
        <w:t>”, “</w:t>
      </w:r>
      <w:r>
        <w:rPr>
          <w:rFonts w:ascii="Times New Roman" w:hAnsi="Times New Roman"/>
          <w:b/>
          <w:sz w:val="20"/>
        </w:rPr>
        <w:t>mailed</w:t>
      </w:r>
      <w:r>
        <w:rPr>
          <w:rFonts w:ascii="Times New Roman" w:hAnsi="Times New Roman"/>
          <w:sz w:val="20"/>
        </w:rPr>
        <w:t>”, “</w:t>
      </w:r>
      <w:r>
        <w:rPr>
          <w:rFonts w:ascii="Times New Roman" w:hAnsi="Times New Roman"/>
          <w:b/>
          <w:sz w:val="20"/>
        </w:rPr>
        <w:t>notify</w:t>
      </w:r>
      <w:r>
        <w:rPr>
          <w:rFonts w:ascii="Times New Roman" w:hAnsi="Times New Roman"/>
          <w:sz w:val="20"/>
        </w:rPr>
        <w:t>” or “</w:t>
      </w:r>
      <w:r>
        <w:rPr>
          <w:rFonts w:ascii="Times New Roman" w:hAnsi="Times New Roman"/>
          <w:b/>
          <w:sz w:val="20"/>
        </w:rPr>
        <w:t>sent</w:t>
      </w:r>
      <w:r>
        <w:rPr>
          <w:rFonts w:ascii="Times New Roman" w:hAnsi="Times New Roman"/>
          <w:sz w:val="20"/>
        </w:rPr>
        <w:t xml:space="preserve">” with respect to any notice to be given to a 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Note) or (y) mailed to such Holder by first class mail, postage prepaid, at its address as it appears on the Note Register (in the case of a Physical Note), in each case, in accordance with Section 17.03. Notice so “given” shall be deemed to include any notice to be “mailed” or “delivered,” as applicable, under this Indenture. </w:t>
      </w:r>
    </w:p>
    <w:p>
      <w:pPr>
        <w:pStyle w:val="TextBody"/>
        <w:bidi w:val="0"/>
        <w:spacing w:before="240" w:after="0"/>
        <w:jc w:val="left"/>
        <w:rPr/>
      </w:pPr>
      <w:r>
        <w:rPr/>
        <w:t>“</w:t>
      </w:r>
      <w:r>
        <w:rPr>
          <w:rFonts w:ascii="Times New Roman" w:hAnsi="Times New Roman"/>
          <w:b/>
          <w:sz w:val="20"/>
        </w:rPr>
        <w:t>Global Note</w:t>
      </w:r>
      <w:r>
        <w:rPr>
          <w:rFonts w:ascii="Times New Roman" w:hAnsi="Times New Roman"/>
          <w:sz w:val="20"/>
        </w:rPr>
        <w:t xml:space="preserve">” shall have the meaning specified in Section 2.05(b). </w:t>
      </w:r>
    </w:p>
    <w:p>
      <w:pPr>
        <w:pStyle w:val="TextBody"/>
        <w:bidi w:val="0"/>
        <w:spacing w:before="240" w:after="0"/>
        <w:jc w:val="left"/>
        <w:rPr/>
      </w:pPr>
      <w:r>
        <w:rPr/>
        <w:t>“</w:t>
      </w:r>
      <w:r>
        <w:rPr>
          <w:rFonts w:ascii="Times New Roman" w:hAnsi="Times New Roman"/>
          <w:b/>
          <w:sz w:val="20"/>
        </w:rPr>
        <w:t>Holder</w:t>
      </w:r>
      <w:r>
        <w:rPr>
          <w:rFonts w:ascii="Times New Roman" w:hAnsi="Times New Roman"/>
          <w:sz w:val="20"/>
        </w:rPr>
        <w:t xml:space="preserve">,” as applied to any Note, or other similar terms (but excluding the term “beneficial holder”), means any Person in whose name at the time a particular Note is registered on the Note Register. </w:t>
      </w:r>
    </w:p>
    <w:p>
      <w:pPr>
        <w:pStyle w:val="TextBody"/>
        <w:bidi w:val="0"/>
        <w:spacing w:before="240" w:after="0"/>
        <w:jc w:val="left"/>
        <w:rPr/>
      </w:pPr>
      <w:r>
        <w:rPr/>
        <w:t>“</w:t>
      </w:r>
      <w:r>
        <w:rPr>
          <w:rFonts w:ascii="Times New Roman" w:hAnsi="Times New Roman"/>
          <w:b/>
          <w:sz w:val="20"/>
        </w:rPr>
        <w:t>Indenture</w:t>
      </w:r>
      <w:r>
        <w:rPr>
          <w:rFonts w:ascii="Times New Roman" w:hAnsi="Times New Roman"/>
          <w:sz w:val="20"/>
        </w:rPr>
        <w:t xml:space="preserve">” means this instrument as originally executed or, if amended or supplemented as herein provided, as so amended or supplemented. </w:t>
      </w:r>
    </w:p>
    <w:p>
      <w:pPr>
        <w:pStyle w:val="TextBody"/>
        <w:bidi w:val="0"/>
        <w:spacing w:before="240" w:after="0"/>
        <w:jc w:val="left"/>
        <w:rPr/>
      </w:pPr>
      <w:r>
        <w:rPr/>
        <w:t>“</w:t>
      </w:r>
      <w:r>
        <w:rPr>
          <w:rFonts w:ascii="Times New Roman" w:hAnsi="Times New Roman"/>
          <w:b/>
          <w:sz w:val="20"/>
        </w:rPr>
        <w:t>Initial Purchasers</w:t>
      </w:r>
      <w:r>
        <w:rPr>
          <w:rFonts w:ascii="Times New Roman" w:hAnsi="Times New Roman"/>
          <w:sz w:val="20"/>
        </w:rPr>
        <w:t xml:space="preserve">” means the several initial purchasers listed in Schedule 1 to the Purchase Agreement. </w:t>
      </w:r>
    </w:p>
    <w:p>
      <w:pPr>
        <w:pStyle w:val="TextBody"/>
        <w:bidi w:val="0"/>
        <w:spacing w:before="240" w:after="0"/>
        <w:jc w:val="left"/>
        <w:rPr/>
      </w:pPr>
      <w:r>
        <w:rPr/>
        <w:t>“</w:t>
      </w:r>
      <w:r>
        <w:rPr>
          <w:rFonts w:ascii="Times New Roman" w:hAnsi="Times New Roman"/>
          <w:b/>
          <w:sz w:val="20"/>
        </w:rPr>
        <w:t>Last Reported Sale Price</w:t>
      </w:r>
      <w:r>
        <w:rPr>
          <w:rFonts w:ascii="Times New Roman" w:hAnsi="Times New Roman"/>
          <w:sz w:val="20"/>
        </w:rPr>
        <w:t>” of the ADSs on any date means the closing sale price (or if no closing sale price is reported, the average of the bid and ask prices or, if more than one in either case, the average of the average bid and the average ask prices) per ADS on that date as reported in composite transactions for the principal U.S. national or regional securities exchange on which the ADSs are traded. If the ADSs are not listed for trading on a U.S. national or regional securities exchange on the relevant date, the “</w:t>
      </w:r>
      <w:r>
        <w:rPr>
          <w:rFonts w:ascii="Times New Roman" w:hAnsi="Times New Roman"/>
          <w:b/>
          <w:sz w:val="20"/>
        </w:rPr>
        <w:t>Last Reported Sale Price</w:t>
      </w:r>
      <w:r>
        <w:rPr>
          <w:rFonts w:ascii="Times New Roman" w:hAnsi="Times New Roman"/>
          <w:sz w:val="20"/>
        </w:rPr>
        <w:t>” shall be the last quoted bid price per ADS in the over-the-counter market on the relevant date as reported by OTC Markets Group Inc. or a similar organization. If the ADSs are not so quoted, the “</w:t>
      </w:r>
      <w:r>
        <w:rPr>
          <w:rFonts w:ascii="Times New Roman" w:hAnsi="Times New Roman"/>
          <w:b/>
          <w:sz w:val="20"/>
        </w:rPr>
        <w:t>Last Reported Sale Price</w:t>
      </w:r>
      <w:r>
        <w:rPr>
          <w:rFonts w:ascii="Times New Roman" w:hAnsi="Times New Roman"/>
          <w:sz w:val="20"/>
        </w:rPr>
        <w:t>” shall be the average of the mid-point of the last bid and ask prices per ADS on the relevant date from each of at least three nationally recognized independent investment banking firms selected by the Company for this purpose. The “</w:t>
      </w:r>
      <w:r>
        <w:rPr>
          <w:rFonts w:ascii="Times New Roman" w:hAnsi="Times New Roman"/>
          <w:b/>
          <w:sz w:val="20"/>
        </w:rPr>
        <w:t>Last Reported Sale Price</w:t>
      </w:r>
      <w:r>
        <w:rPr>
          <w:rFonts w:ascii="Times New Roman" w:hAnsi="Times New Roman"/>
          <w:sz w:val="20"/>
        </w:rPr>
        <w:t xml:space="preserve">” shall be determined without regard to after-hours trading or any other trading outside of regular trading session hours.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Make-Whole Fundamental Change</w:t>
      </w:r>
      <w:r>
        <w:rPr>
          <w:rFonts w:ascii="Times New Roman" w:hAnsi="Times New Roman"/>
          <w:sz w:val="20"/>
        </w:rPr>
        <w:t xml:space="preserve">” means any transaction or event that constitutes a Fundamental Change (as defined above and determined after giving effect to any exceptions to or exclusions from such definition, but without regard to the </w:t>
      </w:r>
      <w:r>
        <w:rPr>
          <w:rFonts w:ascii="Times New Roman" w:hAnsi="Times New Roman"/>
          <w:i/>
          <w:sz w:val="20"/>
        </w:rPr>
        <w:t>proviso</w:t>
      </w:r>
      <w:r>
        <w:rPr>
          <w:rFonts w:ascii="Times New Roman" w:hAnsi="Times New Roman"/>
          <w:sz w:val="20"/>
        </w:rPr>
        <w:t xml:space="preserve"> in clause (b) of the definition thereof). </w:t>
      </w:r>
    </w:p>
    <w:p>
      <w:pPr>
        <w:pStyle w:val="TextBody"/>
        <w:bidi w:val="0"/>
        <w:spacing w:before="240" w:after="0"/>
        <w:jc w:val="left"/>
        <w:rPr/>
      </w:pPr>
      <w:r>
        <w:rPr/>
        <w:t>“</w:t>
      </w:r>
      <w:r>
        <w:rPr>
          <w:rFonts w:ascii="Times New Roman" w:hAnsi="Times New Roman"/>
          <w:b/>
          <w:sz w:val="20"/>
        </w:rPr>
        <w:t>Make-Whole Fundamental Change Period</w:t>
      </w:r>
      <w:r>
        <w:rPr>
          <w:rFonts w:ascii="Times New Roman" w:hAnsi="Times New Roman"/>
          <w:sz w:val="20"/>
        </w:rPr>
        <w:t xml:space="preserve">” shall have the meaning specified in Section 14.03(a). </w:t>
      </w:r>
    </w:p>
    <w:p>
      <w:pPr>
        <w:pStyle w:val="TextBody"/>
        <w:bidi w:val="0"/>
        <w:spacing w:before="240" w:after="0"/>
        <w:jc w:val="left"/>
        <w:rPr/>
      </w:pPr>
      <w:r>
        <w:rPr/>
        <w:t>“</w:t>
      </w:r>
      <w:r>
        <w:rPr>
          <w:rFonts w:ascii="Times New Roman" w:hAnsi="Times New Roman"/>
          <w:b/>
          <w:sz w:val="20"/>
        </w:rPr>
        <w:t>Market Disruption Event</w:t>
      </w:r>
      <w:r>
        <w:rPr>
          <w:rFonts w:ascii="Times New Roman" w:hAnsi="Times New Roman"/>
          <w:sz w:val="20"/>
        </w:rPr>
        <w:t xml:space="preserve">” means, for the purposes of determining amounts due upon conversion (a) a failure by the primary U.S. national or regional securities exchange or market on which the ADSs are listed or admitted for trading to open for trading during its regular trading session or (b) the occurrence or existence prior to 1:00 p.m., New York City time, on any Scheduled Trading Day for the ADSs for more than one half-hour period in the aggregate during regular trading hours of any suspension or limitation imposed on trading (by reason of movements in price exceeding limits permitted by the relevant stock exchange or otherwise) in the ADSs or in any options contracts or futures contracts relating to the ADSs. </w:t>
      </w:r>
    </w:p>
    <w:p>
      <w:pPr>
        <w:pStyle w:val="TextBody"/>
        <w:bidi w:val="0"/>
        <w:spacing w:before="240" w:after="0"/>
        <w:jc w:val="left"/>
        <w:rPr/>
      </w:pPr>
      <w:r>
        <w:rPr/>
        <w:t>“</w:t>
      </w:r>
      <w:r>
        <w:rPr>
          <w:rFonts w:ascii="Times New Roman" w:hAnsi="Times New Roman"/>
          <w:b/>
          <w:sz w:val="20"/>
        </w:rPr>
        <w:t>Maturity Date</w:t>
      </w:r>
      <w:r>
        <w:rPr>
          <w:rFonts w:ascii="Times New Roman" w:hAnsi="Times New Roman"/>
          <w:sz w:val="20"/>
        </w:rPr>
        <w:t xml:space="preserve">” means August 15, 2031. </w:t>
      </w:r>
    </w:p>
    <w:p>
      <w:pPr>
        <w:pStyle w:val="TextBody"/>
        <w:bidi w:val="0"/>
        <w:spacing w:before="240" w:after="0"/>
        <w:jc w:val="left"/>
        <w:rPr/>
      </w:pPr>
      <w:r>
        <w:rPr/>
        <w:t>“</w:t>
      </w:r>
      <w:r>
        <w:rPr>
          <w:rFonts w:ascii="Times New Roman" w:hAnsi="Times New Roman"/>
          <w:b/>
          <w:sz w:val="20"/>
        </w:rPr>
        <w:t>Measurement Period</w:t>
      </w:r>
      <w:r>
        <w:rPr>
          <w:rFonts w:ascii="Times New Roman" w:hAnsi="Times New Roman"/>
          <w:sz w:val="20"/>
        </w:rPr>
        <w:t xml:space="preserve">” shall have the meaning specified in Section 14.01(b)(i). </w:t>
      </w:r>
    </w:p>
    <w:p>
      <w:pPr>
        <w:pStyle w:val="TextBody"/>
        <w:bidi w:val="0"/>
        <w:spacing w:before="240" w:after="0"/>
        <w:jc w:val="left"/>
        <w:rPr/>
      </w:pPr>
      <w:r>
        <w:rPr/>
        <w:t>“</w:t>
      </w:r>
      <w:r>
        <w:rPr>
          <w:rFonts w:ascii="Times New Roman" w:hAnsi="Times New Roman"/>
          <w:b/>
          <w:sz w:val="20"/>
        </w:rPr>
        <w:t>Note</w:t>
      </w:r>
      <w:r>
        <w:rPr>
          <w:rFonts w:ascii="Times New Roman" w:hAnsi="Times New Roman"/>
          <w:sz w:val="20"/>
        </w:rPr>
        <w:t>” or “</w:t>
      </w:r>
      <w:r>
        <w:rPr>
          <w:rFonts w:ascii="Times New Roman" w:hAnsi="Times New Roman"/>
          <w:b/>
          <w:sz w:val="20"/>
        </w:rPr>
        <w:t>Notes</w:t>
      </w:r>
      <w:r>
        <w:rPr>
          <w:rFonts w:ascii="Times New Roman" w:hAnsi="Times New Roman"/>
          <w:sz w:val="20"/>
        </w:rPr>
        <w:t xml:space="preserve">” shall have the meaning specified in the first paragraph of the recitals of this Indenture. </w:t>
      </w:r>
    </w:p>
    <w:p>
      <w:pPr>
        <w:pStyle w:val="TextBody"/>
        <w:bidi w:val="0"/>
        <w:spacing w:before="240" w:after="0"/>
        <w:jc w:val="left"/>
        <w:rPr/>
      </w:pPr>
      <w:r>
        <w:rPr/>
        <w:t>“</w:t>
      </w:r>
      <w:r>
        <w:rPr>
          <w:rFonts w:ascii="Times New Roman" w:hAnsi="Times New Roman"/>
          <w:b/>
          <w:sz w:val="20"/>
        </w:rPr>
        <w:t>Note Register</w:t>
      </w:r>
      <w:r>
        <w:rPr>
          <w:rFonts w:ascii="Times New Roman" w:hAnsi="Times New Roman"/>
          <w:sz w:val="20"/>
        </w:rPr>
        <w:t xml:space="preserve">” shall have the meaning specified in Section 2.05(a). </w:t>
      </w:r>
    </w:p>
    <w:p>
      <w:pPr>
        <w:pStyle w:val="TextBody"/>
        <w:bidi w:val="0"/>
        <w:spacing w:before="240" w:after="0"/>
        <w:jc w:val="left"/>
        <w:rPr/>
      </w:pPr>
      <w:r>
        <w:rPr/>
        <w:t>“</w:t>
      </w:r>
      <w:r>
        <w:rPr>
          <w:rFonts w:ascii="Times New Roman" w:hAnsi="Times New Roman"/>
          <w:b/>
          <w:sz w:val="20"/>
        </w:rPr>
        <w:t>Note Registrar</w:t>
      </w:r>
      <w:r>
        <w:rPr>
          <w:rFonts w:ascii="Times New Roman" w:hAnsi="Times New Roman"/>
          <w:sz w:val="20"/>
        </w:rPr>
        <w:t xml:space="preserve">” shall have the meaning specified in Section 2.05(a). </w:t>
      </w:r>
    </w:p>
    <w:p>
      <w:pPr>
        <w:pStyle w:val="TextBody"/>
        <w:bidi w:val="0"/>
        <w:spacing w:before="240" w:after="0"/>
        <w:jc w:val="left"/>
        <w:rPr/>
      </w:pPr>
      <w:r>
        <w:rPr/>
        <w:t>“</w:t>
      </w:r>
      <w:r>
        <w:rPr>
          <w:rFonts w:ascii="Times New Roman" w:hAnsi="Times New Roman"/>
          <w:b/>
          <w:sz w:val="20"/>
        </w:rPr>
        <w:t>Notice of Conversion</w:t>
      </w:r>
      <w:r>
        <w:rPr>
          <w:rFonts w:ascii="Times New Roman" w:hAnsi="Times New Roman"/>
          <w:sz w:val="20"/>
        </w:rPr>
        <w:t xml:space="preserve">” shall have the meaning specified in Section 14.02(b). </w:t>
      </w:r>
    </w:p>
    <w:p>
      <w:pPr>
        <w:pStyle w:val="TextBody"/>
        <w:bidi w:val="0"/>
        <w:spacing w:before="240" w:after="0"/>
        <w:jc w:val="left"/>
        <w:rPr/>
      </w:pPr>
      <w:r>
        <w:rPr/>
        <w:t>“</w:t>
      </w:r>
      <w:r>
        <w:rPr>
          <w:rFonts w:ascii="Times New Roman" w:hAnsi="Times New Roman"/>
          <w:b/>
          <w:sz w:val="20"/>
        </w:rPr>
        <w:t xml:space="preserve">Notice of Tax Redemption Election” </w:t>
      </w:r>
      <w:r>
        <w:rPr>
          <w:rFonts w:ascii="Times New Roman" w:hAnsi="Times New Roman"/>
          <w:sz w:val="20"/>
        </w:rPr>
        <w:t xml:space="preserve">shall have the meaning specified in Section 16.03(b). </w:t>
      </w:r>
    </w:p>
    <w:p>
      <w:pPr>
        <w:pStyle w:val="TextBody"/>
        <w:bidi w:val="0"/>
        <w:spacing w:before="240" w:after="0"/>
        <w:jc w:val="left"/>
        <w:rPr/>
      </w:pPr>
      <w:r>
        <w:rPr/>
        <w:t>“</w:t>
      </w:r>
      <w:r>
        <w:rPr>
          <w:rFonts w:ascii="Times New Roman" w:hAnsi="Times New Roman"/>
          <w:b/>
          <w:sz w:val="20"/>
        </w:rPr>
        <w:t>Observation Period</w:t>
      </w:r>
      <w:r>
        <w:rPr>
          <w:rFonts w:ascii="Times New Roman" w:hAnsi="Times New Roman"/>
          <w:sz w:val="20"/>
        </w:rPr>
        <w:t xml:space="preserve">” with respect to any Note surrendered for conversion means: (i) subject to clause (ii), if the relevant Conversion Date occurs prior to May 15, 2031, the 40 consecutive Trading Day period beginning on, and including, the second Trading Day immediately succeeding such Conversion Date; (ii) with respect to any Called Notes, if the relevant Conversion Date occurs during the related Redemption Period, the 40 consecutive Trading Days beginning on, and including, the 41st Scheduled Trading Day immediately preceding such Redemption Date; and (iii) subject to clause (ii), if the relevant Conversion Date occurs on or after May 15, 2031, the 40 consecutive Trading Days beginning on, and including, the 41st Scheduled Trading Day immediately preceding the Maturity Date. </w:t>
      </w:r>
    </w:p>
    <w:p>
      <w:pPr>
        <w:pStyle w:val="TextBody"/>
        <w:bidi w:val="0"/>
        <w:spacing w:before="240" w:after="0"/>
        <w:jc w:val="left"/>
        <w:rPr/>
      </w:pPr>
      <w:r>
        <w:rPr/>
        <w:t>“</w:t>
      </w:r>
      <w:r>
        <w:rPr>
          <w:rFonts w:ascii="Times New Roman" w:hAnsi="Times New Roman"/>
          <w:b/>
          <w:sz w:val="20"/>
        </w:rPr>
        <w:t>Offering Memorandum</w:t>
      </w:r>
      <w:r>
        <w:rPr>
          <w:rFonts w:ascii="Times New Roman" w:hAnsi="Times New Roman"/>
          <w:sz w:val="20"/>
        </w:rPr>
        <w:t xml:space="preserve">” means the preliminary offering memorandum dated August 10, 2026, as supplemented by the related pricing term sheet dated August 10, 2026, relating to the offering and sale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Officer</w:t>
      </w:r>
      <w:r>
        <w:rPr>
          <w:rFonts w:ascii="Times New Roman" w:hAnsi="Times New Roman"/>
          <w:sz w:val="20"/>
        </w:rPr>
        <w:t xml:space="preserve">” means, with respect to the Company, the President, the Chief Executive Officer, the Chief Financial Officer, the Principal Legal Officer, any Executive or Senior Vice President or any Vice President (whether or not designated by a number or numbers or word or words added before or after the title “Vice President”). </w:t>
      </w:r>
    </w:p>
    <w:p>
      <w:pPr>
        <w:pStyle w:val="TextBody"/>
        <w:bidi w:val="0"/>
        <w:spacing w:before="240" w:after="0"/>
        <w:jc w:val="left"/>
        <w:rPr/>
      </w:pPr>
      <w:r>
        <w:rPr/>
        <w:t>“</w:t>
      </w:r>
      <w:r>
        <w:rPr>
          <w:rFonts w:ascii="Times New Roman" w:hAnsi="Times New Roman"/>
          <w:b/>
          <w:sz w:val="20"/>
        </w:rPr>
        <w:t>Officers’ Certificate</w:t>
      </w:r>
      <w:r>
        <w:rPr>
          <w:rFonts w:ascii="Times New Roman" w:hAnsi="Times New Roman"/>
          <w:sz w:val="20"/>
        </w:rPr>
        <w:t xml:space="preserve">,” when used with respect to the Company, means a certificate that is delivered to the Trustee and that is signed by (a) two Officers of the Company or (b) one Officer of the Company and one of the Treasurer, any Assistant Treasurer, the Secretary, any Assistant Secretary or the Controller of the Company. Each such certificate shall include the statements provided for in Section 17.05 if and to the extent required by the provisions of such Section. One of the Officers giving an Officers’ Certificate pursuant to Section 4.08 shall be the principal executive, financial or accounting officer of the Company. </w:t>
      </w:r>
    </w:p>
    <w:p>
      <w:pPr>
        <w:pStyle w:val="TextBody"/>
        <w:bidi w:val="0"/>
        <w:spacing w:before="240" w:after="0"/>
        <w:jc w:val="left"/>
        <w:rPr/>
      </w:pPr>
      <w:r>
        <w:rPr/>
        <w:t>“</w:t>
      </w:r>
      <w:r>
        <w:rPr>
          <w:rFonts w:ascii="Times New Roman" w:hAnsi="Times New Roman"/>
          <w:b/>
          <w:sz w:val="20"/>
        </w:rPr>
        <w:t>open of business</w:t>
      </w:r>
      <w:r>
        <w:rPr>
          <w:rFonts w:ascii="Times New Roman" w:hAnsi="Times New Roman"/>
          <w:sz w:val="20"/>
        </w:rPr>
        <w:t xml:space="preserve">” means 9:00 a.m. (New York City time). </w:t>
      </w:r>
    </w:p>
    <w:p>
      <w:pPr>
        <w:pStyle w:val="TextBody"/>
        <w:bidi w:val="0"/>
        <w:spacing w:before="240" w:after="0"/>
        <w:jc w:val="left"/>
        <w:rPr/>
      </w:pPr>
      <w:r>
        <w:rPr/>
        <w:t>“</w:t>
      </w:r>
      <w:r>
        <w:rPr>
          <w:rFonts w:ascii="Times New Roman" w:hAnsi="Times New Roman"/>
          <w:b/>
          <w:sz w:val="20"/>
        </w:rPr>
        <w:t>Opinion of Counsel</w:t>
      </w:r>
      <w:r>
        <w:rPr>
          <w:rFonts w:ascii="Times New Roman" w:hAnsi="Times New Roman"/>
          <w:sz w:val="20"/>
        </w:rPr>
        <w:t xml:space="preserve">” means an opinion in writing signed by legal counsel, who may be an employee of or counsel to the Company, or other counsel who is reasonably acceptable to the Trustee, which opinion may contain customary exceptions and qualifications as to the matters set forth therein, that is delivered to the Trustee. Each such opinion shall include the statements provided for in Section 17.05 if and to the extent required by the provisions of such Section 17.05. </w:t>
      </w:r>
    </w:p>
    <w:p>
      <w:pPr>
        <w:pStyle w:val="TextBody"/>
        <w:bidi w:val="0"/>
        <w:spacing w:before="240" w:after="0"/>
        <w:jc w:val="left"/>
        <w:rPr/>
      </w:pPr>
      <w:r>
        <w:rPr/>
        <w:t>“</w:t>
      </w:r>
      <w:r>
        <w:rPr>
          <w:rFonts w:ascii="Times New Roman" w:hAnsi="Times New Roman"/>
          <w:b/>
          <w:sz w:val="20"/>
        </w:rPr>
        <w:t>Optional Repurchase Date</w:t>
      </w:r>
      <w:r>
        <w:rPr>
          <w:rFonts w:ascii="Times New Roman" w:hAnsi="Times New Roman"/>
          <w:sz w:val="20"/>
        </w:rPr>
        <w:t xml:space="preserve">” shall have the meaning specified in Section 15.01. </w:t>
      </w:r>
    </w:p>
    <w:p>
      <w:pPr>
        <w:pStyle w:val="TextBody"/>
        <w:bidi w:val="0"/>
        <w:spacing w:before="240" w:after="0"/>
        <w:jc w:val="left"/>
        <w:rPr/>
      </w:pPr>
      <w:r>
        <w:rPr/>
        <w:t>“</w:t>
      </w:r>
      <w:r>
        <w:rPr>
          <w:rFonts w:ascii="Times New Roman" w:hAnsi="Times New Roman"/>
          <w:b/>
          <w:sz w:val="20"/>
        </w:rPr>
        <w:t>Optional Repurchase Notice</w:t>
      </w:r>
      <w:r>
        <w:rPr>
          <w:rFonts w:ascii="Times New Roman" w:hAnsi="Times New Roman"/>
          <w:sz w:val="20"/>
        </w:rPr>
        <w:t xml:space="preserve">” shall have the meaning specified in Section 15.01. </w:t>
      </w:r>
    </w:p>
    <w:p>
      <w:pPr>
        <w:pStyle w:val="TextBody"/>
        <w:bidi w:val="0"/>
        <w:spacing w:before="240" w:after="0"/>
        <w:jc w:val="left"/>
        <w:rPr/>
      </w:pPr>
      <w:r>
        <w:rPr/>
        <w:t>“</w:t>
      </w:r>
      <w:r>
        <w:rPr>
          <w:rFonts w:ascii="Times New Roman" w:hAnsi="Times New Roman"/>
          <w:b/>
          <w:sz w:val="20"/>
        </w:rPr>
        <w:t>Optional Repurchase Price</w:t>
      </w:r>
      <w:r>
        <w:rPr>
          <w:rFonts w:ascii="Times New Roman" w:hAnsi="Times New Roman"/>
          <w:sz w:val="20"/>
        </w:rPr>
        <w:t xml:space="preserve">” shall have the meaning specified in Section 15.01. </w:t>
      </w:r>
    </w:p>
    <w:p>
      <w:pPr>
        <w:pStyle w:val="TextBody"/>
        <w:bidi w:val="0"/>
        <w:spacing w:before="240" w:after="0"/>
        <w:jc w:val="left"/>
        <w:rPr/>
      </w:pPr>
      <w:r>
        <w:rPr/>
        <w:t>“</w:t>
      </w:r>
      <w:r>
        <w:rPr>
          <w:rFonts w:ascii="Times New Roman" w:hAnsi="Times New Roman"/>
          <w:b/>
          <w:sz w:val="20"/>
        </w:rPr>
        <w:t>Ordinary Shares</w:t>
      </w:r>
      <w:r>
        <w:rPr>
          <w:rFonts w:ascii="Times New Roman" w:hAnsi="Times New Roman"/>
          <w:sz w:val="20"/>
        </w:rPr>
        <w:t xml:space="preserve">” means the ordinary shares of the Company, par value $0.01 per share, at the date of this Indenture. </w:t>
      </w:r>
    </w:p>
    <w:p>
      <w:pPr>
        <w:pStyle w:val="TextBody"/>
        <w:bidi w:val="0"/>
        <w:spacing w:before="240" w:after="0"/>
        <w:jc w:val="left"/>
        <w:rPr/>
      </w:pPr>
      <w:r>
        <w:rPr/>
        <w:t>“</w:t>
      </w:r>
      <w:r>
        <w:rPr>
          <w:rFonts w:ascii="Times New Roman" w:hAnsi="Times New Roman"/>
          <w:b/>
          <w:sz w:val="20"/>
        </w:rPr>
        <w:t>outstanding</w:t>
      </w:r>
      <w:r>
        <w:rPr>
          <w:rFonts w:ascii="Times New Roman" w:hAnsi="Times New Roman"/>
          <w:sz w:val="20"/>
        </w:rPr>
        <w:t xml:space="preserve">,” when used with reference to Notes, shall, subject to the provisions of Section 8.04, mean, as of any particular time, all Notes authenticated and delivered by the Trustee under this Indenture, except: </w:t>
      </w:r>
    </w:p>
    <w:p>
      <w:pPr>
        <w:pStyle w:val="TextBody"/>
        <w:bidi w:val="0"/>
        <w:spacing w:before="120" w:after="0"/>
        <w:jc w:val="left"/>
        <w:rPr>
          <w:rFonts w:ascii="Times New Roman" w:hAnsi="Times New Roman"/>
          <w:sz w:val="20"/>
        </w:rPr>
      </w:pPr>
      <w:r>
        <w:rPr>
          <w:rFonts w:ascii="Times New Roman" w:hAnsi="Times New Roman"/>
          <w:sz w:val="20"/>
        </w:rPr>
        <w:t xml:space="preserve">(a) Notes theretofore canceled by the Trustee or the Paying Agent or accepted by the Trustee or Paying Agent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(b) 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 </w:t>
      </w:r>
    </w:p>
    <w:p>
      <w:pPr>
        <w:pStyle w:val="TextBody"/>
        <w:bidi w:val="0"/>
        <w:spacing w:before="120" w:after="0"/>
        <w:jc w:val="left"/>
        <w:rPr>
          <w:rFonts w:ascii="Times New Roman" w:hAnsi="Times New Roman"/>
          <w:sz w:val="20"/>
        </w:rPr>
      </w:pPr>
      <w:r>
        <w:rPr>
          <w:rFonts w:ascii="Times New Roman" w:hAnsi="Times New Roman"/>
          <w:sz w:val="20"/>
        </w:rPr>
        <w:t xml:space="preserve">(c) 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Notes converted pursuant to Article 14 and required to be cancelled pursuant to Section 2.08; </w:t>
      </w:r>
    </w:p>
    <w:p>
      <w:pPr>
        <w:pStyle w:val="TextBody"/>
        <w:bidi w:val="0"/>
        <w:spacing w:before="120" w:after="0"/>
        <w:jc w:val="left"/>
        <w:rPr>
          <w:rFonts w:ascii="Times New Roman" w:hAnsi="Times New Roman"/>
          <w:sz w:val="20"/>
        </w:rPr>
      </w:pPr>
      <w:r>
        <w:rPr>
          <w:rFonts w:ascii="Times New Roman" w:hAnsi="Times New Roman"/>
          <w:sz w:val="20"/>
        </w:rPr>
        <w:t xml:space="preserve">(e) Notes redeemed pursuant to Article 16; and </w:t>
      </w:r>
    </w:p>
    <w:p>
      <w:pPr>
        <w:pStyle w:val="TextBody"/>
        <w:bidi w:val="0"/>
        <w:spacing w:before="120" w:after="0"/>
        <w:jc w:val="left"/>
        <w:rPr>
          <w:rFonts w:ascii="Times New Roman" w:hAnsi="Times New Roman"/>
          <w:sz w:val="20"/>
        </w:rPr>
      </w:pPr>
      <w:r>
        <w:rPr>
          <w:rFonts w:ascii="Times New Roman" w:hAnsi="Times New Roman"/>
          <w:sz w:val="20"/>
        </w:rPr>
        <w:t xml:space="preserve">(f) Notes repurchased by the Company pursuant to the penultimate sentence of Section 2.10 and surrendered to the Trustee for cancellation. </w:t>
      </w:r>
    </w:p>
    <w:p>
      <w:pPr>
        <w:pStyle w:val="TextBody"/>
        <w:bidi w:val="0"/>
        <w:spacing w:before="240" w:after="0"/>
        <w:jc w:val="left"/>
        <w:rPr/>
      </w:pPr>
      <w:r>
        <w:rPr/>
        <w:t>“</w:t>
      </w:r>
      <w:r>
        <w:rPr>
          <w:rFonts w:ascii="Times New Roman" w:hAnsi="Times New Roman"/>
          <w:b/>
          <w:sz w:val="20"/>
        </w:rPr>
        <w:t>Partial Redemption Limitation</w:t>
      </w:r>
      <w:r>
        <w:rPr>
          <w:rFonts w:ascii="Times New Roman" w:hAnsi="Times New Roman"/>
          <w:sz w:val="20"/>
        </w:rPr>
        <w:t xml:space="preserve">” shall have the meaning specified in Section 16.01(b). </w:t>
      </w:r>
    </w:p>
    <w:p>
      <w:pPr>
        <w:pStyle w:val="TextBody"/>
        <w:bidi w:val="0"/>
        <w:spacing w:before="240" w:after="0"/>
        <w:jc w:val="left"/>
        <w:rPr/>
      </w:pPr>
      <w:r>
        <w:rPr/>
        <w:t>“</w:t>
      </w:r>
      <w:r>
        <w:rPr>
          <w:rFonts w:ascii="Times New Roman" w:hAnsi="Times New Roman"/>
          <w:b/>
          <w:sz w:val="20"/>
        </w:rPr>
        <w:t>Paying Agent</w:t>
      </w:r>
      <w:r>
        <w:rPr>
          <w:rFonts w:ascii="Times New Roman" w:hAnsi="Times New Roman"/>
          <w:sz w:val="20"/>
        </w:rPr>
        <w:t xml:space="preserve">” shall have the meaning specified in Section 4.02.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means an individual, a corporation, a limited liability company, an association, a partnership, a joint venture, a joint stock company, a trust, an unincorporated organization or a government or an agency or a political subdivision thereof. </w:t>
      </w:r>
    </w:p>
    <w:p>
      <w:pPr>
        <w:pStyle w:val="TextBody"/>
        <w:bidi w:val="0"/>
        <w:spacing w:before="240" w:after="0"/>
        <w:jc w:val="left"/>
        <w:rPr/>
      </w:pPr>
      <w:r>
        <w:rPr/>
        <w:t>“</w:t>
      </w:r>
      <w:r>
        <w:rPr>
          <w:rFonts w:ascii="Times New Roman" w:hAnsi="Times New Roman"/>
          <w:b/>
          <w:sz w:val="20"/>
        </w:rPr>
        <w:t>Physical Notes</w:t>
      </w:r>
      <w:r>
        <w:rPr>
          <w:rFonts w:ascii="Times New Roman" w:hAnsi="Times New Roman"/>
          <w:sz w:val="20"/>
        </w:rPr>
        <w:t xml:space="preserve">” means permanent certificated Notes in registered form issued in denominations of $1,000 principal amount and integral multiples thereof. </w:t>
      </w:r>
    </w:p>
    <w:p>
      <w:pPr>
        <w:pStyle w:val="TextBody"/>
        <w:bidi w:val="0"/>
        <w:spacing w:before="240" w:after="0"/>
        <w:jc w:val="left"/>
        <w:rPr/>
      </w:pPr>
      <w:r>
        <w:rPr/>
        <w:t>“</w:t>
      </w:r>
      <w:r>
        <w:rPr>
          <w:rFonts w:ascii="Times New Roman" w:hAnsi="Times New Roman"/>
          <w:b/>
          <w:sz w:val="20"/>
        </w:rPr>
        <w:t>Predecessor Note</w:t>
      </w:r>
      <w:r>
        <w:rPr>
          <w:rFonts w:ascii="Times New Roman" w:hAnsi="Times New Roman"/>
          <w:sz w:val="20"/>
        </w:rPr>
        <w:t xml:space="preserve">”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 </w:t>
      </w:r>
    </w:p>
    <w:p>
      <w:pPr>
        <w:pStyle w:val="TextBody"/>
        <w:bidi w:val="0"/>
        <w:spacing w:before="240" w:after="0"/>
        <w:jc w:val="left"/>
        <w:rPr/>
      </w:pPr>
      <w:r>
        <w:rPr/>
        <w:t>“</w:t>
      </w:r>
      <w:r>
        <w:rPr>
          <w:rFonts w:ascii="Times New Roman" w:hAnsi="Times New Roman"/>
          <w:b/>
          <w:sz w:val="20"/>
        </w:rPr>
        <w:t xml:space="preserve">Provisional Redemption” </w:t>
      </w:r>
      <w:r>
        <w:rPr>
          <w:rFonts w:ascii="Times New Roman" w:hAnsi="Times New Roman"/>
          <w:sz w:val="20"/>
        </w:rPr>
        <w:t xml:space="preserve">shall have the meaning specified in Section 16.01(b). </w:t>
      </w:r>
    </w:p>
    <w:p>
      <w:pPr>
        <w:pStyle w:val="TextBody"/>
        <w:bidi w:val="0"/>
        <w:spacing w:before="240" w:after="0"/>
        <w:jc w:val="left"/>
        <w:rPr/>
      </w:pPr>
      <w:r>
        <w:rPr/>
        <w:t>“</w:t>
      </w:r>
      <w:r>
        <w:rPr>
          <w:rFonts w:ascii="Times New Roman" w:hAnsi="Times New Roman"/>
          <w:b/>
          <w:sz w:val="20"/>
        </w:rPr>
        <w:t xml:space="preserve">Provisional Redemption Date” </w:t>
      </w:r>
      <w:r>
        <w:rPr>
          <w:rFonts w:ascii="Times New Roman" w:hAnsi="Times New Roman"/>
          <w:sz w:val="20"/>
        </w:rPr>
        <w:t xml:space="preserve">shall have the meaning specified in Section 16.02(a). </w:t>
      </w:r>
    </w:p>
    <w:p>
      <w:pPr>
        <w:pStyle w:val="TextBody"/>
        <w:bidi w:val="0"/>
        <w:spacing w:before="240" w:after="0"/>
        <w:jc w:val="left"/>
        <w:rPr/>
      </w:pPr>
      <w:r>
        <w:rPr/>
        <w:t>“</w:t>
      </w:r>
      <w:r>
        <w:rPr>
          <w:rFonts w:ascii="Times New Roman" w:hAnsi="Times New Roman"/>
          <w:b/>
          <w:sz w:val="20"/>
        </w:rPr>
        <w:t xml:space="preserve">Provisional Redemption Notice” </w:t>
      </w:r>
      <w:r>
        <w:rPr>
          <w:rFonts w:ascii="Times New Roman" w:hAnsi="Times New Roman"/>
          <w:sz w:val="20"/>
        </w:rPr>
        <w:t xml:space="preserve">shall have the meaning specified in Section 16.02(a). </w:t>
      </w:r>
    </w:p>
    <w:p>
      <w:pPr>
        <w:pStyle w:val="TextBody"/>
        <w:bidi w:val="0"/>
        <w:spacing w:before="240" w:after="0"/>
        <w:jc w:val="left"/>
        <w:rPr/>
      </w:pPr>
      <w:r>
        <w:rPr/>
        <w:t>“</w:t>
      </w:r>
      <w:r>
        <w:rPr>
          <w:rFonts w:ascii="Times New Roman" w:hAnsi="Times New Roman"/>
          <w:b/>
          <w:sz w:val="20"/>
        </w:rPr>
        <w:t xml:space="preserve">Provisional Redemption Price” </w:t>
      </w:r>
      <w:r>
        <w:rPr>
          <w:rFonts w:ascii="Times New Roman" w:hAnsi="Times New Roman"/>
          <w:sz w:val="20"/>
        </w:rPr>
        <w:t xml:space="preserve">shall have the meaning specified in Section 16.01(a). </w:t>
      </w:r>
    </w:p>
    <w:p>
      <w:pPr>
        <w:pStyle w:val="TextBody"/>
        <w:bidi w:val="0"/>
        <w:spacing w:before="240" w:after="0"/>
        <w:jc w:val="left"/>
        <w:rPr/>
      </w:pPr>
      <w:r>
        <w:rPr/>
        <w:t>“</w:t>
      </w:r>
      <w:r>
        <w:rPr>
          <w:rFonts w:ascii="Times New Roman" w:hAnsi="Times New Roman"/>
          <w:b/>
          <w:sz w:val="20"/>
        </w:rPr>
        <w:t>Purchase Agreement</w:t>
      </w:r>
      <w:r>
        <w:rPr>
          <w:rFonts w:ascii="Times New Roman" w:hAnsi="Times New Roman"/>
          <w:sz w:val="20"/>
        </w:rPr>
        <w:t xml:space="preserve">” means that certain Purchase Agreement, dated as of August 10, 2026, among the Company and J.P. Morgan Securities LLC, Evercore Group L.L.C. and UBS Securities LLC, as representatives of the several Initial Purchasers. </w:t>
      </w:r>
    </w:p>
    <w:p>
      <w:pPr>
        <w:pStyle w:val="TextBody"/>
        <w:bidi w:val="0"/>
        <w:spacing w:before="240" w:after="0"/>
        <w:jc w:val="left"/>
        <w:rPr/>
      </w:pPr>
      <w:r>
        <w:rPr/>
        <w:t>“</w:t>
      </w:r>
      <w:r>
        <w:rPr>
          <w:rFonts w:ascii="Times New Roman" w:hAnsi="Times New Roman"/>
          <w:b/>
          <w:sz w:val="20"/>
        </w:rPr>
        <w:t>Record Date</w:t>
      </w:r>
      <w:r>
        <w:rPr>
          <w:rFonts w:ascii="Times New Roman" w:hAnsi="Times New Roman"/>
          <w:sz w:val="20"/>
        </w:rPr>
        <w:t xml:space="preserve">” means, with respect to any dividend, distribution or other transaction or event in which the holders of the Ordinary Shares (directly or in the form of ADSs) (or other applicable security) have the right to receive any cash, securities or other property or in which the Ordinary Shares (directly or in the form of ADSs) (or such other security) are exchanged for or converted into any combination of cash, securities or other property, the date fixed for determination of holders of the Ordinary Shares (directly or in the form of ADSs) (or such other security) entitled to receive such cash, securities or other property (whether such date is fixed by the Board of Directors, by statute, by contract or otherwise). </w:t>
      </w:r>
    </w:p>
    <w:p>
      <w:pPr>
        <w:pStyle w:val="TextBody"/>
        <w:bidi w:val="0"/>
        <w:spacing w:before="240" w:after="0"/>
        <w:jc w:val="left"/>
        <w:rPr/>
      </w:pPr>
      <w:r>
        <w:rPr/>
        <w:t>“</w:t>
      </w:r>
      <w:r>
        <w:rPr>
          <w:rFonts w:ascii="Times New Roman" w:hAnsi="Times New Roman"/>
          <w:b/>
          <w:sz w:val="20"/>
        </w:rPr>
        <w:t>Redemption</w:t>
      </w:r>
      <w:r>
        <w:rPr>
          <w:rFonts w:ascii="Times New Roman" w:hAnsi="Times New Roman"/>
          <w:sz w:val="20"/>
        </w:rPr>
        <w:t xml:space="preserve">” means a Tax Redemption or a Provisional Redemption,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Redemption Date</w:t>
      </w:r>
      <w:r>
        <w:rPr>
          <w:rFonts w:ascii="Times New Roman" w:hAnsi="Times New Roman"/>
          <w:sz w:val="20"/>
        </w:rPr>
        <w:t xml:space="preserve">” means a Tax Redemption Date or a Provisional Redemption Date, as the case may be. </w:t>
      </w:r>
    </w:p>
    <w:p>
      <w:pPr>
        <w:pStyle w:val="TextBody"/>
        <w:bidi w:val="0"/>
        <w:spacing w:before="240" w:after="0"/>
        <w:jc w:val="left"/>
        <w:rPr/>
      </w:pPr>
      <w:r>
        <w:rPr/>
        <w:t>“</w:t>
      </w:r>
      <w:r>
        <w:rPr>
          <w:rFonts w:ascii="Times New Roman" w:hAnsi="Times New Roman"/>
          <w:b/>
          <w:sz w:val="20"/>
        </w:rPr>
        <w:t>Redemption Notice</w:t>
      </w:r>
      <w:r>
        <w:rPr>
          <w:rFonts w:ascii="Times New Roman" w:hAnsi="Times New Roman"/>
          <w:sz w:val="20"/>
        </w:rPr>
        <w:t xml:space="preserve">” means a Tax Redemption Notice or a Provisional Redemption Notice, as the case may be. </w:t>
      </w:r>
    </w:p>
    <w:p>
      <w:pPr>
        <w:pStyle w:val="TextBody"/>
        <w:bidi w:val="0"/>
        <w:spacing w:before="240" w:after="0"/>
        <w:jc w:val="left"/>
        <w:rPr/>
      </w:pPr>
      <w:r>
        <w:rPr/>
        <w:t>“</w:t>
      </w:r>
      <w:r>
        <w:rPr>
          <w:rFonts w:ascii="Times New Roman" w:hAnsi="Times New Roman"/>
          <w:b/>
          <w:sz w:val="20"/>
        </w:rPr>
        <w:t>Redemption Notice Date</w:t>
      </w:r>
      <w:r>
        <w:rPr>
          <w:rFonts w:ascii="Times New Roman" w:hAnsi="Times New Roman"/>
          <w:sz w:val="20"/>
        </w:rPr>
        <w:t xml:space="preserve">” means the date the Company delivers a Tax Redemption Notice or Provisional Redemption Notice, as the case may be, pursuant to this Indenture. </w:t>
      </w:r>
    </w:p>
    <w:p>
      <w:pPr>
        <w:pStyle w:val="TextBody"/>
        <w:bidi w:val="0"/>
        <w:spacing w:before="240" w:after="0"/>
        <w:jc w:val="left"/>
        <w:rPr/>
      </w:pPr>
      <w:r>
        <w:rPr/>
        <w:t>“</w:t>
      </w:r>
      <w:r>
        <w:rPr>
          <w:rFonts w:ascii="Times New Roman" w:hAnsi="Times New Roman"/>
          <w:b/>
          <w:sz w:val="20"/>
        </w:rPr>
        <w:t>Redemption Period</w:t>
      </w:r>
      <w:r>
        <w:rPr>
          <w:rFonts w:ascii="Times New Roman" w:hAnsi="Times New Roman"/>
          <w:sz w:val="20"/>
        </w:rPr>
        <w:t xml:space="preserve">” means, with respect to any Redemption, the period from, and including, the Redemption Notice Date for such Redemption until the close of business on the second Scheduled Trading Day immediately preceding the related Redemption Date (or, if the Company defaults in the payment of the Redemption Price, until the date on which the Redemption Price has been paid or duly provided for). </w:t>
      </w:r>
    </w:p>
    <w:p>
      <w:pPr>
        <w:pStyle w:val="TextBody"/>
        <w:bidi w:val="0"/>
        <w:spacing w:before="240" w:after="0"/>
        <w:jc w:val="left"/>
        <w:rPr/>
      </w:pPr>
      <w:r>
        <w:rPr/>
        <w:t>“</w:t>
      </w:r>
      <w:r>
        <w:rPr>
          <w:rFonts w:ascii="Times New Roman" w:hAnsi="Times New Roman"/>
          <w:b/>
          <w:sz w:val="20"/>
        </w:rPr>
        <w:t>Redemption Price</w:t>
      </w:r>
      <w:r>
        <w:rPr>
          <w:rFonts w:ascii="Times New Roman" w:hAnsi="Times New Roman"/>
          <w:sz w:val="20"/>
        </w:rPr>
        <w:t xml:space="preserve">” means Tax Redemption Price or Provisional Redemption Price, as the case may be. </w:t>
      </w:r>
    </w:p>
    <w:p>
      <w:pPr>
        <w:pStyle w:val="TextBody"/>
        <w:bidi w:val="0"/>
        <w:spacing w:before="240" w:after="0"/>
        <w:jc w:val="left"/>
        <w:rPr/>
      </w:pPr>
      <w:r>
        <w:rPr/>
        <w:t>“</w:t>
      </w:r>
      <w:r>
        <w:rPr>
          <w:rFonts w:ascii="Times New Roman" w:hAnsi="Times New Roman"/>
          <w:b/>
          <w:sz w:val="20"/>
        </w:rPr>
        <w:t>Reference Property</w:t>
      </w:r>
      <w:r>
        <w:rPr>
          <w:rFonts w:ascii="Times New Roman" w:hAnsi="Times New Roman"/>
          <w:sz w:val="20"/>
        </w:rPr>
        <w:t xml:space="preserve">” shall have the meaning specified in Section 14.07(a). </w:t>
      </w:r>
    </w:p>
    <w:p>
      <w:pPr>
        <w:pStyle w:val="TextBody"/>
        <w:bidi w:val="0"/>
        <w:spacing w:before="240" w:after="0"/>
        <w:jc w:val="left"/>
        <w:rPr/>
      </w:pPr>
      <w:r>
        <w:rPr/>
        <w:t>“</w:t>
      </w:r>
      <w:r>
        <w:rPr>
          <w:rFonts w:ascii="Times New Roman" w:hAnsi="Times New Roman"/>
          <w:b/>
          <w:sz w:val="20"/>
        </w:rPr>
        <w:t>Relevant Taxing Jurisdiction</w:t>
      </w:r>
      <w:r>
        <w:rPr>
          <w:rFonts w:ascii="Times New Roman" w:hAnsi="Times New Roman"/>
          <w:sz w:val="20"/>
        </w:rPr>
        <w:t xml:space="preserve">” shall have the meaning specified in Section 4.10(a). </w:t>
      </w:r>
    </w:p>
    <w:p>
      <w:pPr>
        <w:pStyle w:val="TextBody"/>
        <w:bidi w:val="0"/>
        <w:spacing w:before="240" w:after="0"/>
        <w:jc w:val="left"/>
        <w:rPr/>
      </w:pPr>
      <w:r>
        <w:rPr/>
        <w:t>“</w:t>
      </w:r>
      <w:r>
        <w:rPr>
          <w:rFonts w:ascii="Times New Roman" w:hAnsi="Times New Roman"/>
          <w:b/>
          <w:sz w:val="20"/>
        </w:rPr>
        <w:t>Reporting Event of Default</w:t>
      </w:r>
      <w:r>
        <w:rPr>
          <w:rFonts w:ascii="Times New Roman" w:hAnsi="Times New Roman"/>
          <w:sz w:val="20"/>
        </w:rPr>
        <w:t xml:space="preserve">” shall have the meaning specified in Section 6.03. </w:t>
      </w:r>
    </w:p>
    <w:p>
      <w:pPr>
        <w:pStyle w:val="TextBody"/>
        <w:bidi w:val="0"/>
        <w:spacing w:before="240" w:after="0"/>
        <w:jc w:val="left"/>
        <w:rPr/>
      </w:pPr>
      <w:r>
        <w:rPr/>
        <w:t>“</w:t>
      </w:r>
      <w:r>
        <w:rPr>
          <w:rFonts w:ascii="Times New Roman" w:hAnsi="Times New Roman"/>
          <w:b/>
          <w:sz w:val="20"/>
        </w:rPr>
        <w:t>Resale Restriction Termination Date</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means, when used with respect to the Trustee, any officer within the Corporate Trust Office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 </w:t>
      </w:r>
    </w:p>
    <w:p>
      <w:pPr>
        <w:pStyle w:val="TextBody"/>
        <w:bidi w:val="0"/>
        <w:spacing w:before="240" w:after="0"/>
        <w:jc w:val="left"/>
        <w:rPr/>
      </w:pPr>
      <w:r>
        <w:rPr/>
        <w:t>“</w:t>
      </w:r>
      <w:r>
        <w:rPr>
          <w:rFonts w:ascii="Times New Roman" w:hAnsi="Times New Roman"/>
          <w:b/>
          <w:sz w:val="20"/>
        </w:rPr>
        <w:t>Restricted Issuance Agreement</w:t>
      </w:r>
      <w:r>
        <w:rPr>
          <w:rFonts w:ascii="Times New Roman" w:hAnsi="Times New Roman"/>
          <w:sz w:val="20"/>
        </w:rPr>
        <w:t xml:space="preserve">” means the restricted issuance agreement dated on or about the date hereof by and between the Company and the ADS Depositary or, if amended or supplemented as provided therein, as so amended or supplemented. </w:t>
      </w:r>
    </w:p>
    <w:p>
      <w:pPr>
        <w:pStyle w:val="TextBody"/>
        <w:bidi w:val="0"/>
        <w:spacing w:before="240" w:after="0"/>
        <w:jc w:val="left"/>
        <w:rPr/>
      </w:pPr>
      <w:r>
        <w:rPr/>
        <w:t>“</w:t>
      </w:r>
      <w:r>
        <w:rPr>
          <w:rFonts w:ascii="Times New Roman" w:hAnsi="Times New Roman"/>
          <w:b/>
          <w:sz w:val="20"/>
        </w:rPr>
        <w:t>Restricted Securities</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Rule 12b-25</w:t>
      </w:r>
      <w:r>
        <w:rPr>
          <w:rFonts w:ascii="Times New Roman" w:hAnsi="Times New Roman"/>
          <w:sz w:val="20"/>
        </w:rPr>
        <w:t xml:space="preserve">” means Rule 12b-25 as promulgated under the Exchange Act. </w:t>
      </w:r>
    </w:p>
    <w:p>
      <w:pPr>
        <w:pStyle w:val="TextBody"/>
        <w:bidi w:val="0"/>
        <w:spacing w:before="240" w:after="0"/>
        <w:jc w:val="left"/>
        <w:rPr/>
      </w:pPr>
      <w:r>
        <w:rPr/>
        <w:t>“</w:t>
      </w:r>
      <w:r>
        <w:rPr>
          <w:rFonts w:ascii="Times New Roman" w:hAnsi="Times New Roman"/>
          <w:b/>
          <w:sz w:val="20"/>
        </w:rPr>
        <w:t>Rule 144</w:t>
      </w:r>
      <w:r>
        <w:rPr>
          <w:rFonts w:ascii="Times New Roman" w:hAnsi="Times New Roman"/>
          <w:sz w:val="20"/>
        </w:rPr>
        <w:t xml:space="preserve">” means Rule 144 as promulgated under the Securities Act. </w:t>
      </w:r>
    </w:p>
    <w:p>
      <w:pPr>
        <w:pStyle w:val="TextBody"/>
        <w:bidi w:val="0"/>
        <w:spacing w:before="240" w:after="0"/>
        <w:jc w:val="left"/>
        <w:rPr/>
      </w:pPr>
      <w:r>
        <w:rPr/>
        <w:t>“</w:t>
      </w:r>
      <w:r>
        <w:rPr>
          <w:rFonts w:ascii="Times New Roman" w:hAnsi="Times New Roman"/>
          <w:b/>
          <w:sz w:val="20"/>
        </w:rPr>
        <w:t>Rule 144A</w:t>
      </w:r>
      <w:r>
        <w:rPr>
          <w:rFonts w:ascii="Times New Roman" w:hAnsi="Times New Roman"/>
          <w:sz w:val="20"/>
        </w:rPr>
        <w:t xml:space="preserve">” means Rule 144A as promulgated under the Securities Act. </w:t>
      </w:r>
    </w:p>
    <w:p>
      <w:pPr>
        <w:pStyle w:val="TextBody"/>
        <w:bidi w:val="0"/>
        <w:spacing w:before="240" w:after="0"/>
        <w:jc w:val="left"/>
        <w:rPr/>
      </w:pPr>
      <w:r>
        <w:rPr/>
        <w:t>“</w:t>
      </w:r>
      <w:r>
        <w:rPr>
          <w:rFonts w:ascii="Times New Roman" w:hAnsi="Times New Roman"/>
          <w:b/>
          <w:sz w:val="20"/>
        </w:rPr>
        <w:t>Sale Price Condition</w:t>
      </w:r>
      <w:r>
        <w:rPr>
          <w:rFonts w:ascii="Times New Roman" w:hAnsi="Times New Roman"/>
          <w:sz w:val="20"/>
        </w:rPr>
        <w:t xml:space="preserve">” shall have the meaning specified in Section 14.01(b)(iv).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Scheduled Trading Day</w:t>
      </w:r>
      <w:r>
        <w:rPr>
          <w:rFonts w:ascii="Times New Roman" w:hAnsi="Times New Roman"/>
          <w:sz w:val="20"/>
        </w:rPr>
        <w:t>” means a day that is scheduled to be a Trading Day on the principal U.S. national or regional securities exchange or market on which the ADSs are listed or admitted for trading. If the ADSs are not so listed or admitted for trading, “</w:t>
      </w:r>
      <w:r>
        <w:rPr>
          <w:rFonts w:ascii="Times New Roman" w:hAnsi="Times New Roman"/>
          <w:b/>
          <w:sz w:val="20"/>
        </w:rPr>
        <w:t>Scheduled Trading Day</w:t>
      </w:r>
      <w:r>
        <w:rPr>
          <w:rFonts w:ascii="Times New Roman" w:hAnsi="Times New Roman"/>
          <w:sz w:val="20"/>
        </w:rPr>
        <w:t xml:space="preserve">” means a Business Day. </w:t>
      </w:r>
    </w:p>
    <w:p>
      <w:pPr>
        <w:pStyle w:val="TextBody"/>
        <w:bidi w:val="0"/>
        <w:spacing w:before="240" w:after="0"/>
        <w:jc w:val="left"/>
        <w:rPr/>
      </w:pPr>
      <w:r>
        <w:rPr/>
        <w:t>“</w:t>
      </w:r>
      <w:r>
        <w:rPr>
          <w:rFonts w:ascii="Times New Roman" w:hAnsi="Times New Roman"/>
          <w:b/>
          <w:sz w:val="20"/>
        </w:rPr>
        <w:t>Securities Act</w:t>
      </w:r>
      <w:r>
        <w:rPr>
          <w:rFonts w:ascii="Times New Roman" w:hAnsi="Times New Roman"/>
          <w:sz w:val="20"/>
        </w:rPr>
        <w:t xml:space="preserve">” means the Securities Act of 1933, as amended, and the rules and regulations promulgated thereunder. </w:t>
      </w:r>
    </w:p>
    <w:p>
      <w:pPr>
        <w:pStyle w:val="TextBody"/>
        <w:bidi w:val="0"/>
        <w:spacing w:before="240" w:after="0"/>
        <w:jc w:val="left"/>
        <w:rPr/>
      </w:pPr>
      <w:r>
        <w:rPr/>
        <w:t>“</w:t>
      </w:r>
      <w:r>
        <w:rPr>
          <w:rFonts w:ascii="Times New Roman" w:hAnsi="Times New Roman"/>
          <w:b/>
          <w:sz w:val="20"/>
        </w:rPr>
        <w:t>Settlement Notice</w:t>
      </w:r>
      <w:r>
        <w:rPr>
          <w:rFonts w:ascii="Times New Roman" w:hAnsi="Times New Roman"/>
          <w:sz w:val="20"/>
        </w:rPr>
        <w:t xml:space="preserve">” has the meaning specified in Section 14.02(a)(i). </w:t>
      </w:r>
    </w:p>
    <w:p>
      <w:pPr>
        <w:pStyle w:val="TextBody"/>
        <w:bidi w:val="0"/>
        <w:spacing w:before="240" w:after="0"/>
        <w:jc w:val="left"/>
        <w:rPr/>
      </w:pPr>
      <w:r>
        <w:rPr/>
        <w:t>“</w:t>
      </w:r>
      <w:r>
        <w:rPr>
          <w:rFonts w:ascii="Times New Roman" w:hAnsi="Times New Roman"/>
          <w:b/>
          <w:sz w:val="20"/>
        </w:rPr>
        <w:t>Share Exchange Event</w:t>
      </w:r>
      <w:r>
        <w:rPr>
          <w:rFonts w:ascii="Times New Roman" w:hAnsi="Times New Roman"/>
          <w:sz w:val="20"/>
        </w:rPr>
        <w:t xml:space="preserve">” has the meaning specified in Section 14.07(a). </w:t>
      </w:r>
    </w:p>
    <w:p>
      <w:pPr>
        <w:pStyle w:val="TextBody"/>
        <w:bidi w:val="0"/>
        <w:spacing w:before="240" w:after="0"/>
        <w:jc w:val="left"/>
        <w:rPr/>
      </w:pPr>
      <w:r>
        <w:rPr/>
        <w:t>“</w:t>
      </w:r>
      <w:r>
        <w:rPr>
          <w:rFonts w:ascii="Times New Roman" w:hAnsi="Times New Roman"/>
          <w:b/>
          <w:sz w:val="20"/>
        </w:rPr>
        <w:t>Significant Subsidiary</w:t>
      </w:r>
      <w:r>
        <w:rPr>
          <w:rFonts w:ascii="Times New Roman" w:hAnsi="Times New Roman"/>
          <w:sz w:val="20"/>
        </w:rPr>
        <w:t xml:space="preserve">” means a Subsidiary of the Company that meets the definition of “significant subsidiary” as defined in Article 1, Rule 1-02(w) of Regulation S-X promulgated by the Commission. </w:t>
      </w:r>
    </w:p>
    <w:p>
      <w:pPr>
        <w:pStyle w:val="TextBody"/>
        <w:bidi w:val="0"/>
        <w:spacing w:before="240" w:after="0"/>
        <w:jc w:val="left"/>
        <w:rPr/>
      </w:pPr>
      <w:r>
        <w:rPr/>
        <w:t>“</w:t>
      </w:r>
      <w:r>
        <w:rPr>
          <w:rFonts w:ascii="Times New Roman" w:hAnsi="Times New Roman"/>
          <w:b/>
          <w:sz w:val="20"/>
        </w:rPr>
        <w:t>Special Interest</w:t>
      </w:r>
      <w:r>
        <w:rPr>
          <w:rFonts w:ascii="Times New Roman" w:hAnsi="Times New Roman"/>
          <w:sz w:val="20"/>
        </w:rPr>
        <w:t xml:space="preserve">” means all amounts, if any, payable pursuant to Section 4.06(d), Section 4.06(e) and Section 6.03, as applicable. </w:t>
      </w:r>
    </w:p>
    <w:p>
      <w:pPr>
        <w:pStyle w:val="TextBody"/>
        <w:bidi w:val="0"/>
        <w:spacing w:before="240" w:after="0"/>
        <w:jc w:val="left"/>
        <w:rPr/>
      </w:pPr>
      <w:r>
        <w:rPr/>
        <w:t>“</w:t>
      </w:r>
      <w:r>
        <w:rPr>
          <w:rFonts w:ascii="Times New Roman" w:hAnsi="Times New Roman"/>
          <w:b/>
          <w:sz w:val="20"/>
        </w:rPr>
        <w:t>Special Interest Payment Date</w:t>
      </w:r>
      <w:r>
        <w:rPr>
          <w:rFonts w:ascii="Times New Roman" w:hAnsi="Times New Roman"/>
          <w:sz w:val="20"/>
        </w:rPr>
        <w:t xml:space="preserve">” means, if and to the extent that Special Interest is payable on the Notes, each February 15 and August 15 of each year, beginning on February 15, 2027 (if any Special Interest is then payable). </w:t>
      </w:r>
    </w:p>
    <w:p>
      <w:pPr>
        <w:pStyle w:val="TextBody"/>
        <w:bidi w:val="0"/>
        <w:spacing w:before="240" w:after="0"/>
        <w:jc w:val="left"/>
        <w:rPr/>
      </w:pPr>
      <w:r>
        <w:rPr/>
        <w:t>“</w:t>
      </w:r>
      <w:r>
        <w:rPr>
          <w:rFonts w:ascii="Times New Roman" w:hAnsi="Times New Roman"/>
          <w:b/>
          <w:sz w:val="20"/>
        </w:rPr>
        <w:t>Special Interest Record Date</w:t>
      </w:r>
      <w:r>
        <w:rPr>
          <w:rFonts w:ascii="Times New Roman" w:hAnsi="Times New Roman"/>
          <w:sz w:val="20"/>
        </w:rPr>
        <w:t xml:space="preserve">,” with respect to any Special Interest Payment Date, means the February 1 or August 1 (whether or not such day is a Business Day) immediately preceding the applicable February 15 or August 15 Special Interest Payment Date, respectively. </w:t>
      </w:r>
    </w:p>
    <w:p>
      <w:pPr>
        <w:pStyle w:val="TextBody"/>
        <w:bidi w:val="0"/>
        <w:spacing w:before="240" w:after="0"/>
        <w:jc w:val="left"/>
        <w:rPr/>
      </w:pPr>
      <w:r>
        <w:rPr/>
        <w:t>“</w:t>
      </w:r>
      <w:r>
        <w:rPr>
          <w:rFonts w:ascii="Times New Roman" w:hAnsi="Times New Roman"/>
          <w:b/>
          <w:sz w:val="20"/>
        </w:rPr>
        <w:t>Spin-Off</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 </w:t>
      </w:r>
    </w:p>
    <w:p>
      <w:pPr>
        <w:pStyle w:val="TextBody"/>
        <w:bidi w:val="0"/>
        <w:spacing w:before="240" w:after="0"/>
        <w:jc w:val="left"/>
        <w:rPr/>
      </w:pPr>
      <w:r>
        <w:rPr/>
        <w:t>“</w:t>
      </w:r>
      <w:r>
        <w:rPr>
          <w:rFonts w:ascii="Times New Roman" w:hAnsi="Times New Roman"/>
          <w:b/>
          <w:sz w:val="20"/>
        </w:rPr>
        <w:t>Successor Company</w:t>
      </w:r>
      <w:r>
        <w:rPr>
          <w:rFonts w:ascii="Times New Roman" w:hAnsi="Times New Roman"/>
          <w:sz w:val="20"/>
        </w:rPr>
        <w:t xml:space="preserve">” shall have the meaning specified in Section 11.01(a). </w:t>
      </w:r>
    </w:p>
    <w:p>
      <w:pPr>
        <w:pStyle w:val="TextBody"/>
        <w:bidi w:val="0"/>
        <w:spacing w:before="240" w:after="0"/>
        <w:jc w:val="left"/>
        <w:rPr/>
      </w:pPr>
      <w:r>
        <w:rPr/>
        <w:t>“</w:t>
      </w:r>
      <w:r>
        <w:rPr>
          <w:rFonts w:ascii="Times New Roman" w:hAnsi="Times New Roman"/>
          <w:b/>
          <w:sz w:val="20"/>
        </w:rPr>
        <w:t xml:space="preserve">Tax Redemption” </w:t>
      </w:r>
      <w:r>
        <w:rPr>
          <w:rFonts w:ascii="Times New Roman" w:hAnsi="Times New Roman"/>
          <w:sz w:val="20"/>
        </w:rPr>
        <w:t xml:space="preserve">shall have the meaning specified in Section 16.01(a). </w:t>
      </w:r>
    </w:p>
    <w:p>
      <w:pPr>
        <w:pStyle w:val="TextBody"/>
        <w:bidi w:val="0"/>
        <w:spacing w:before="240" w:after="0"/>
        <w:jc w:val="left"/>
        <w:rPr/>
      </w:pPr>
      <w:r>
        <w:rPr/>
        <w:t>“</w:t>
      </w:r>
      <w:r>
        <w:rPr>
          <w:rFonts w:ascii="Times New Roman" w:hAnsi="Times New Roman"/>
          <w:b/>
          <w:sz w:val="20"/>
        </w:rPr>
        <w:t xml:space="preserve">Tax Redemption Date” </w:t>
      </w:r>
      <w:r>
        <w:rPr>
          <w:rFonts w:ascii="Times New Roman" w:hAnsi="Times New Roman"/>
          <w:sz w:val="20"/>
        </w:rPr>
        <w:t xml:space="preserve">shall have the meaning specified in Section 16.02(a). </w:t>
      </w:r>
    </w:p>
    <w:p>
      <w:pPr>
        <w:pStyle w:val="TextBody"/>
        <w:bidi w:val="0"/>
        <w:spacing w:before="240" w:after="0"/>
        <w:jc w:val="left"/>
        <w:rPr/>
      </w:pPr>
      <w:r>
        <w:rPr/>
        <w:t>“</w:t>
      </w:r>
      <w:r>
        <w:rPr>
          <w:rFonts w:ascii="Times New Roman" w:hAnsi="Times New Roman"/>
          <w:b/>
          <w:sz w:val="20"/>
        </w:rPr>
        <w:t xml:space="preserve">Tax Redemption Notice” </w:t>
      </w:r>
      <w:r>
        <w:rPr>
          <w:rFonts w:ascii="Times New Roman" w:hAnsi="Times New Roman"/>
          <w:sz w:val="20"/>
        </w:rPr>
        <w:t xml:space="preserve">shall have the meaning specified in Section 16.02(a). </w:t>
      </w:r>
    </w:p>
    <w:p>
      <w:pPr>
        <w:pStyle w:val="TextBody"/>
        <w:bidi w:val="0"/>
        <w:spacing w:before="240" w:after="0"/>
        <w:jc w:val="left"/>
        <w:rPr/>
      </w:pPr>
      <w:r>
        <w:rPr/>
        <w:t>“</w:t>
      </w:r>
      <w:r>
        <w:rPr>
          <w:rFonts w:ascii="Times New Roman" w:hAnsi="Times New Roman"/>
          <w:b/>
          <w:sz w:val="20"/>
        </w:rPr>
        <w:t xml:space="preserve">Tax Redemption Price” </w:t>
      </w:r>
      <w:r>
        <w:rPr>
          <w:rFonts w:ascii="Times New Roman" w:hAnsi="Times New Roman"/>
          <w:sz w:val="20"/>
        </w:rPr>
        <w:t xml:space="preserve">shall have the meaning specified in Section 16.01(a).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Trading Day</w:t>
      </w:r>
      <w:r>
        <w:rPr>
          <w:rFonts w:ascii="Times New Roman" w:hAnsi="Times New Roman"/>
          <w:sz w:val="20"/>
        </w:rPr>
        <w:t xml:space="preserve">” means a day on which (i) trading in the ADSs (or other security for which a closing sale price must be determined) generally occurs on The Nasdaq Global Select Market or, if the ADSs (or such other security) are not then listed on The Nasdaq Global Select Market, on the principal other U.S. national or regional securities exchange on which the ADSs (or such other security) are then listed or, if the ADSs (or such other security) are not then listed on a U.S. national or regional securities exchange, on the principal other market on which the ADSs (or such other security) are then traded and (ii) a Last Reported Sale Price for the ADSs (or closing sale price for such other security) is available on such securities exchange or market; </w:t>
      </w:r>
      <w:r>
        <w:rPr>
          <w:rFonts w:ascii="Times New Roman" w:hAnsi="Times New Roman"/>
          <w:i/>
          <w:sz w:val="20"/>
        </w:rPr>
        <w:t>provided</w:t>
      </w:r>
      <w:r>
        <w:rPr>
          <w:rFonts w:ascii="Times New Roman" w:hAnsi="Times New Roman"/>
          <w:sz w:val="20"/>
        </w:rPr>
        <w:t xml:space="preserve"> that if the ADSs (or such other security) are not so listed or traded, “</w:t>
      </w:r>
      <w:r>
        <w:rPr>
          <w:rFonts w:ascii="Times New Roman" w:hAnsi="Times New Roman"/>
          <w:b/>
          <w:sz w:val="20"/>
        </w:rPr>
        <w:t>Trading Day</w:t>
      </w:r>
      <w:r>
        <w:rPr>
          <w:rFonts w:ascii="Times New Roman" w:hAnsi="Times New Roman"/>
          <w:sz w:val="20"/>
        </w:rPr>
        <w:t xml:space="preserve">” means a Business Day;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for purposes of determining amounts due upon conversion only, “</w:t>
      </w:r>
      <w:r>
        <w:rPr>
          <w:rFonts w:ascii="Times New Roman" w:hAnsi="Times New Roman"/>
          <w:b/>
          <w:sz w:val="20"/>
        </w:rPr>
        <w:t>Trading Day</w:t>
      </w:r>
      <w:r>
        <w:rPr>
          <w:rFonts w:ascii="Times New Roman" w:hAnsi="Times New Roman"/>
          <w:sz w:val="20"/>
        </w:rPr>
        <w:t>” means a day on which (x) there is no Market Disruption Event and (y) trading in the ADSs generally occurs on The Nasdaq Global Select Market or, if the ADSs are not then listed on The Nasdaq Global Select Market, on the principal other U.S. national or regional securities exchange on which the ADSs are then listed or, if the ADSs are not then listed on a U.S. national or regional securities exchange, on the principal other market on which the ADSs are then listed or admitted for trading, except that if the ADSs are not so listed or admitted for trading, “</w:t>
      </w:r>
      <w:r>
        <w:rPr>
          <w:rFonts w:ascii="Times New Roman" w:hAnsi="Times New Roman"/>
          <w:b/>
          <w:sz w:val="20"/>
        </w:rPr>
        <w:t>Trading Day</w:t>
      </w:r>
      <w:r>
        <w:rPr>
          <w:rFonts w:ascii="Times New Roman" w:hAnsi="Times New Roman"/>
          <w:sz w:val="20"/>
        </w:rPr>
        <w:t xml:space="preserve">” means a Business Day. </w:t>
      </w:r>
    </w:p>
    <w:p>
      <w:pPr>
        <w:pStyle w:val="TextBody"/>
        <w:bidi w:val="0"/>
        <w:spacing w:before="240" w:after="0"/>
        <w:jc w:val="left"/>
        <w:rPr/>
      </w:pPr>
      <w:r>
        <w:rPr/>
        <w:t>“</w:t>
      </w:r>
      <w:r>
        <w:rPr>
          <w:rFonts w:ascii="Times New Roman" w:hAnsi="Times New Roman"/>
          <w:b/>
          <w:sz w:val="20"/>
        </w:rPr>
        <w:t>Trading Price</w:t>
      </w:r>
      <w:r>
        <w:rPr>
          <w:rFonts w:ascii="Times New Roman" w:hAnsi="Times New Roman"/>
          <w:sz w:val="20"/>
        </w:rPr>
        <w:t xml:space="preserve">” of the Notes on any date of determination means the average of the secondary market bid quotations obtained by the Bid Solicitation Agent for $5,000,000 principal amount of Notes at approximately 3:30 p.m., New York City time, on such determination date from three independent nationally recognized securities dealers the Company selects for this purpose; </w:t>
      </w:r>
      <w:r>
        <w:rPr>
          <w:rFonts w:ascii="Times New Roman" w:hAnsi="Times New Roman"/>
          <w:i/>
          <w:sz w:val="20"/>
        </w:rPr>
        <w:t>provided</w:t>
      </w:r>
      <w:r>
        <w:rPr>
          <w:rFonts w:ascii="Times New Roman" w:hAnsi="Times New Roman"/>
          <w:sz w:val="20"/>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$5,000,000 principal amount of Notes from a nationally recognized securities dealer on any determination date, then the Trading Price on such determination date per $1,000 principal amount of Notes on such determination date shall be deemed to be less than 98% of the product of the Last Reported Sale Price of the ADSs and the Conversion Rate on such determination date. Any determination of the Trading Price shall be conclusive absent manifest error. </w:t>
      </w:r>
    </w:p>
    <w:p>
      <w:pPr>
        <w:pStyle w:val="TextBody"/>
        <w:bidi w:val="0"/>
        <w:spacing w:before="240" w:after="0"/>
        <w:jc w:val="left"/>
        <w:rPr/>
      </w:pPr>
      <w:r>
        <w:rPr/>
        <w:t>“</w:t>
      </w:r>
      <w:r>
        <w:rPr>
          <w:rFonts w:ascii="Times New Roman" w:hAnsi="Times New Roman"/>
          <w:b/>
          <w:sz w:val="20"/>
        </w:rPr>
        <w:t>Trading Price Condition</w:t>
      </w:r>
      <w:r>
        <w:rPr>
          <w:rFonts w:ascii="Times New Roman" w:hAnsi="Times New Roman"/>
          <w:sz w:val="20"/>
        </w:rPr>
        <w:t xml:space="preserve">” shall have the meaning specified in Section 14.01(b)(i).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shall have the meaning specified in Section 2.05(c). </w:t>
      </w:r>
    </w:p>
    <w:p>
      <w:pPr>
        <w:pStyle w:val="TextBody"/>
        <w:bidi w:val="0"/>
        <w:spacing w:before="240" w:after="0"/>
        <w:jc w:val="left"/>
        <w:rPr/>
      </w:pPr>
      <w:r>
        <w:rPr/>
        <w:t>“</w:t>
      </w:r>
      <w:r>
        <w:rPr>
          <w:rFonts w:ascii="Times New Roman" w:hAnsi="Times New Roman"/>
          <w:b/>
          <w:sz w:val="20"/>
        </w:rPr>
        <w:t>Transfer Taxes</w:t>
      </w:r>
      <w:r>
        <w:rPr>
          <w:rFonts w:ascii="Times New Roman" w:hAnsi="Times New Roman"/>
          <w:sz w:val="20"/>
        </w:rPr>
        <w:t xml:space="preserve">” shall have the meaning specified in Section 4.10(b). </w:t>
      </w:r>
    </w:p>
    <w:p>
      <w:pPr>
        <w:pStyle w:val="TextBody"/>
        <w:bidi w:val="0"/>
        <w:spacing w:before="240" w:after="0"/>
        <w:jc w:val="left"/>
        <w:rPr/>
      </w:pPr>
      <w:r>
        <w:rPr/>
        <w:t>“</w:t>
      </w:r>
      <w:r>
        <w:rPr>
          <w:rFonts w:ascii="Times New Roman" w:hAnsi="Times New Roman"/>
          <w:b/>
          <w:sz w:val="20"/>
        </w:rPr>
        <w:t>Trigger Event</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Trust Indenture Act</w:t>
      </w:r>
      <w:r>
        <w:rPr>
          <w:rFonts w:ascii="Times New Roman" w:hAnsi="Times New Roman"/>
          <w:sz w:val="20"/>
        </w:rPr>
        <w:t xml:space="preserve">” means the Trust Indenture Act of 1939, as amended, as it was in force at the date of execution of this Indenture;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the Trust Indenture Act of 1939 is amended after the date hereof, the term “Trust Indenture Act” shall mean, to the extent required by such amendment, the Trust Indenture Act of 1939, as so amended.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Trustee</w:t>
      </w:r>
      <w:r>
        <w:rPr>
          <w:rFonts w:ascii="Times New Roman" w:hAnsi="Times New Roman"/>
          <w:sz w:val="20"/>
        </w:rPr>
        <w:t>” means the Person named as the “</w:t>
      </w:r>
      <w:r>
        <w:rPr>
          <w:rFonts w:ascii="Times New Roman" w:hAnsi="Times New Roman"/>
          <w:b/>
          <w:sz w:val="20"/>
        </w:rPr>
        <w:t>Trustee</w:t>
      </w:r>
      <w:r>
        <w:rPr>
          <w:rFonts w:ascii="Times New Roman" w:hAnsi="Times New Roman"/>
          <w:sz w:val="20"/>
        </w:rPr>
        <w:t>” in the first paragraph of this Indenture until a successor trustee shall have become such pursuant to the applicable provisions of this Indenture, and thereafter “</w:t>
      </w:r>
      <w:r>
        <w:rPr>
          <w:rFonts w:ascii="Times New Roman" w:hAnsi="Times New Roman"/>
          <w:b/>
          <w:sz w:val="20"/>
        </w:rPr>
        <w:t>Trustee</w:t>
      </w:r>
      <w:r>
        <w:rPr>
          <w:rFonts w:ascii="Times New Roman" w:hAnsi="Times New Roman"/>
          <w:sz w:val="20"/>
        </w:rPr>
        <w:t xml:space="preserve">” shall mean or include each Person who is then a Trustee hereunder. </w:t>
      </w:r>
    </w:p>
    <w:p>
      <w:pPr>
        <w:pStyle w:val="TextBody"/>
        <w:bidi w:val="0"/>
        <w:spacing w:before="240" w:after="0"/>
        <w:jc w:val="left"/>
        <w:rPr/>
      </w:pPr>
      <w:r>
        <w:rPr/>
        <w:t>“</w:t>
      </w:r>
      <w:r>
        <w:rPr>
          <w:rFonts w:ascii="Times New Roman" w:hAnsi="Times New Roman"/>
          <w:b/>
          <w:sz w:val="20"/>
        </w:rPr>
        <w:t>unit of Reference Property</w:t>
      </w:r>
      <w:r>
        <w:rPr>
          <w:rFonts w:ascii="Times New Roman" w:hAnsi="Times New Roman"/>
          <w:sz w:val="20"/>
        </w:rPr>
        <w:t xml:space="preserve">” shall have the meaning specified in Section 14.07(a). </w:t>
      </w:r>
    </w:p>
    <w:p>
      <w:pPr>
        <w:pStyle w:val="TextBody"/>
        <w:bidi w:val="0"/>
        <w:spacing w:before="240" w:after="0"/>
        <w:jc w:val="left"/>
        <w:rPr/>
      </w:pPr>
      <w:r>
        <w:rPr/>
        <w:t>“</w:t>
      </w:r>
      <w:r>
        <w:rPr>
          <w:rFonts w:ascii="Times New Roman" w:hAnsi="Times New Roman"/>
          <w:b/>
          <w:sz w:val="20"/>
        </w:rPr>
        <w:t>Valuation Period</w:t>
      </w:r>
      <w:r>
        <w:rPr>
          <w:rFonts w:ascii="Times New Roman" w:hAnsi="Times New Roman"/>
          <w:sz w:val="20"/>
        </w:rPr>
        <w:t xml:space="preserve">” shall have the meaning specified in Section 14.04(c). </w:t>
      </w:r>
    </w:p>
    <w:p>
      <w:pPr>
        <w:pStyle w:val="TextBody"/>
        <w:bidi w:val="0"/>
        <w:spacing w:before="240" w:after="0"/>
        <w:jc w:val="left"/>
        <w:rPr/>
      </w:pPr>
      <w:r>
        <w:rPr/>
        <w:t>“</w:t>
      </w:r>
      <w:r>
        <w:rPr>
          <w:rFonts w:ascii="Times New Roman" w:hAnsi="Times New Roman"/>
          <w:b/>
          <w:sz w:val="20"/>
        </w:rPr>
        <w:t>Wholly Owned Subsidiary</w:t>
      </w:r>
      <w:r>
        <w:rPr>
          <w:rFonts w:ascii="Times New Roman" w:hAnsi="Times New Roman"/>
          <w:sz w:val="20"/>
        </w:rPr>
        <w:t xml:space="preserve">” means, with respect to any Person, any Subsidiary of such Person, except that, solely for purposes of this definition, the reference to “more than 50%” in the definition of “Subsidiary” shall be deemed replaced by a reference to “100%.” </w:t>
      </w:r>
    </w:p>
    <w:p>
      <w:pPr>
        <w:pStyle w:val="TextBody"/>
        <w:bidi w:val="0"/>
        <w:spacing w:before="240" w:after="0"/>
        <w:jc w:val="left"/>
        <w:rPr>
          <w:rFonts w:ascii="Times New Roman" w:hAnsi="Times New Roman"/>
          <w:sz w:val="20"/>
        </w:rPr>
      </w:pPr>
      <w:r>
        <w:rPr>
          <w:rFonts w:ascii="Times New Roman" w:hAnsi="Times New Roman"/>
          <w:sz w:val="20"/>
        </w:rPr>
        <w:t>Section 1.02</w:t>
      </w:r>
      <w:r>
        <w:rPr>
          <w:rFonts w:ascii="Times New Roman" w:hAnsi="Times New Roman"/>
          <w:i/>
          <w:sz w:val="20"/>
        </w:rPr>
        <w:t>. References to Interest.</w:t>
      </w:r>
      <w:r>
        <w:rPr>
          <w:rFonts w:ascii="Times New Roman" w:hAnsi="Times New Roman"/>
          <w:sz w:val="20"/>
        </w:rPr>
        <w:t xml:space="preserve"> Any reference to interest on, or in respect of, any Note in this Indenture shall be deemed to refer solely to Special Interest if, in such context, Special Interest is, was or would be payable pursuant to any of Section 4.06(d), Section 4.06(e) and Section 6.03 and/or any interest payable on Defaulted Amounts as set forth in Section 2.03(c), as context requires.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0" w:after="0"/>
        <w:jc w:val="center"/>
        <w:rPr>
          <w:rFonts w:ascii="Times New Roman" w:hAnsi="Times New Roman"/>
          <w:sz w:val="20"/>
        </w:rPr>
      </w:pPr>
      <w:r>
        <w:rPr>
          <w:rFonts w:ascii="Times New Roman" w:hAnsi="Times New Roman"/>
          <w:sz w:val="20"/>
        </w:rPr>
        <w:t xml:space="preserve">ISSUE, DESCRIPTION, EXECUTION, REGISTRATION AND EXCHANGE OF NOTES </w:t>
      </w:r>
    </w:p>
    <w:p>
      <w:pPr>
        <w:pStyle w:val="TextBody"/>
        <w:bidi w:val="0"/>
        <w:spacing w:before="240" w:after="0"/>
        <w:jc w:val="left"/>
        <w:rPr>
          <w:rFonts w:ascii="Times New Roman" w:hAnsi="Times New Roman"/>
          <w:sz w:val="20"/>
        </w:rPr>
      </w:pPr>
      <w:r>
        <w:rPr>
          <w:rFonts w:ascii="Times New Roman" w:hAnsi="Times New Roman"/>
          <w:sz w:val="20"/>
        </w:rPr>
        <w:t>Section 2.01</w:t>
      </w:r>
      <w:r>
        <w:rPr>
          <w:rFonts w:ascii="Times New Roman" w:hAnsi="Times New Roman"/>
          <w:i/>
          <w:sz w:val="20"/>
        </w:rPr>
        <w:t>. Designation and Amount.</w:t>
      </w:r>
      <w:r>
        <w:rPr>
          <w:rFonts w:ascii="Times New Roman" w:hAnsi="Times New Roman"/>
          <w:sz w:val="20"/>
        </w:rPr>
        <w:t xml:space="preserve"> The Notes shall be designated as the “0.00% Convertible Senior Notes due 2031.” The aggregate principal amount of Notes that may be authenticated and delivered under this Indenture is initially limited to $1,150,000,000, subject to Section 2.10 and except for Notes authenticated and delivered upon registration or transfer of, or in exchange for, or in lieu of other Notes to the extent expressly permitted hereunder. </w:t>
      </w:r>
    </w:p>
    <w:p>
      <w:pPr>
        <w:pStyle w:val="TextBody"/>
        <w:bidi w:val="0"/>
        <w:spacing w:before="240" w:after="0"/>
        <w:jc w:val="left"/>
        <w:rPr>
          <w:rFonts w:ascii="Times New Roman" w:hAnsi="Times New Roman"/>
          <w:sz w:val="20"/>
        </w:rPr>
      </w:pPr>
      <w:r>
        <w:rPr>
          <w:rFonts w:ascii="Times New Roman" w:hAnsi="Times New Roman"/>
          <w:sz w:val="20"/>
        </w:rPr>
        <w:t>Section 2.02</w:t>
      </w:r>
      <w:r>
        <w:rPr>
          <w:rFonts w:ascii="Times New Roman" w:hAnsi="Times New Roman"/>
          <w:i/>
          <w:sz w:val="20"/>
        </w:rPr>
        <w:t>. Form of Notes.</w:t>
      </w:r>
      <w:r>
        <w:rPr>
          <w:rFonts w:ascii="Times New Roman" w:hAnsi="Times New Roman"/>
          <w:sz w:val="20"/>
        </w:rPr>
        <w:t xml:space="preserve">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 In the case of any conflict between this Indenture and a Note, the provisions of this Indenture shall control and govern to the extent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of the Notes may have such letters, numbers or other marks of identification and such notations, legends or endorsements as the Officer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 </w:t>
      </w:r>
    </w:p>
    <w:p>
      <w:pPr>
        <w:pStyle w:val="TextBody"/>
        <w:bidi w:val="0"/>
        <w:spacing w:before="240" w:after="0"/>
        <w:jc w:val="left"/>
        <w:rPr>
          <w:rFonts w:ascii="Times New Roman" w:hAnsi="Times New Roman"/>
          <w:sz w:val="20"/>
        </w:rPr>
      </w:pPr>
      <w:r>
        <w:rPr>
          <w:rFonts w:ascii="Times New Roman" w:hAnsi="Times New Roman"/>
          <w:sz w:val="20"/>
        </w:rPr>
        <w:t xml:space="preserve">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redemptions, repurchases, cancellations, conversions, transfers or exchanges permitted hereby. Any endorsement of a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(including the Redemption Price, the Optional Repurchase Price and the Fundamental Change Repurchase Price, if applicable) of, and accrued and unpaid Special Interest, if any, on, a Global Note shall be made to the Holder of such Note on the date of payment, unless a record date or other means of determining Holders eligible to receive payment is provided for herein. </w:t>
      </w:r>
    </w:p>
    <w:p>
      <w:pPr>
        <w:pStyle w:val="TextBody"/>
        <w:bidi w:val="0"/>
        <w:spacing w:before="240" w:after="0"/>
        <w:jc w:val="left"/>
        <w:rPr>
          <w:rFonts w:ascii="Times New Roman" w:hAnsi="Times New Roman"/>
          <w:sz w:val="20"/>
        </w:rPr>
      </w:pPr>
      <w:r>
        <w:rPr>
          <w:rFonts w:ascii="Times New Roman" w:hAnsi="Times New Roman"/>
          <w:sz w:val="20"/>
        </w:rPr>
        <w:t>Section 2.03</w:t>
      </w:r>
      <w:r>
        <w:rPr>
          <w:rFonts w:ascii="Times New Roman" w:hAnsi="Times New Roman"/>
          <w:i/>
          <w:sz w:val="20"/>
        </w:rPr>
        <w:t>. Date and Denomination of Notes; No Regular Interest; Special Interest and Defaulted Amounts.</w:t>
      </w:r>
      <w:r>
        <w:rPr>
          <w:rFonts w:ascii="Times New Roman" w:hAnsi="Times New Roman"/>
          <w:sz w:val="20"/>
        </w:rPr>
        <w:t xml:space="preserve"> (a) The Notes shall be issuable in registered form without coupons in minimum denominations of $1,000 principal amount and integral multiples of $1,000 in excess thereof. Each Note shall be dated the date of its authentication, shall not bear regular interest and the principal amount of the Notes shall not accrete. Special Interest on the Notes, if any, shall be computed on the basis of a 360-day year composed of twelve 30-day months and, for partial months, on the basis of the number of days actually elapsed in a 30-day month. </w:t>
      </w:r>
    </w:p>
    <w:p>
      <w:pPr>
        <w:pStyle w:val="TextBody"/>
        <w:bidi w:val="0"/>
        <w:spacing w:before="240" w:after="0"/>
        <w:jc w:val="left"/>
        <w:rPr>
          <w:rFonts w:ascii="Times New Roman" w:hAnsi="Times New Roman"/>
          <w:sz w:val="20"/>
        </w:rPr>
      </w:pPr>
      <w:r>
        <w:rPr>
          <w:rFonts w:ascii="Times New Roman" w:hAnsi="Times New Roman"/>
          <w:sz w:val="20"/>
        </w:rPr>
        <w:t xml:space="preserve">(b) The Person in whose name any Note (or its Predecessor Note) is registered on the Note Register at the close of business on any Special Interest Record Date with respect to any Special Interest Payment Date shall be entitled to receive the Special Interest, if any, payable on such Special Interest Payment Date. The principal amount of any Note (x) in the case of any Physical Note, shall be payable at the office or agency of the Company maintained by the Company for such purposes in the contiguous United States of America, which shall initially be the Corporate Trust Office and (y) in the case of any Global Note, shall be payable by wire transfer of immediately available funds to the account of the Depositary or its nominee. The Company shall pay (or cause the Paying Agent to pay) Special Interest, if any, (i) on any Physical Notes (A) to Holders holding Physical Notes having an aggregate principal amount of $5,000,000 or less, by check mailed to the Holders of these Notes at their address as it appears in the Note Register and (B) to Holders holding Physical Notes having an aggregate principal amount of more than $5,000,000, either by check mailed to each Holder or, upon written application by such a Holder to the Note Registrar not later than the relevant Special Interest Record Date, by wire transfer in immediately available funds to that Holder’s account within the United States (if such Holder has provided the Company, the Trustee or the Paying Agent (if other than the Trustee) with the requisite information necessary to make such wire transfer), which application shall remain in effect until the Holder notifies, in writing, the Note Registrar to the contrary or (ii) on any Global Note by wire transfer of immediately available funds to the account of the Depositary or its nominee.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Any Defaulted Amounts shall forthwith cease to be payable to the Holder on the relevant payment date and shall not accrue interest unless Special Interest was payable pursuant to this Indenture on the relevant payment date, in which case such Defaulted Amounts shall accrue interest per annum at the then-applicable rate of Special Interest borne by the Notes, subject to the enforceability thereof under applicable law, from, and including, such relevant payment date, and such Defaulted Amounts together with such interest, if any, thereon shall be paid by the Company, at its election in each case, as provided in clause (i) or (ii) below: </w:t>
      </w:r>
    </w:p>
    <w:p>
      <w:pPr>
        <w:pStyle w:val="TextBody"/>
        <w:bidi w:val="0"/>
        <w:spacing w:before="120" w:after="0"/>
        <w:jc w:val="left"/>
        <w:rPr>
          <w:rFonts w:ascii="Times New Roman" w:hAnsi="Times New Roman"/>
          <w:sz w:val="20"/>
        </w:rPr>
      </w:pPr>
      <w:r>
        <w:rPr>
          <w:rFonts w:ascii="Times New Roman" w:hAnsi="Times New Roman"/>
          <w:sz w:val="20"/>
        </w:rPr>
        <w:t xml:space="preserve">(i) 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(unless the Trustee shall consent to an earlier date). The Company shall promptly notify the Trustee in writing of such special record date and the Company, or the Trustee at the request of and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Notes (or their respective Predecessor Notes) are registered at the close of business on such special record date and shall no longer be payable pursuant to the following clause (ii) of this Section 2.03(c).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not at any time be under any duty or responsibility to any Holder of Notes to determine the Defaulted Amounts, or with respect to the nature, extent, or calculation of the amount of Defaulted Amounts owed, or with respect to the method employed in such calculation of the Defaulted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2.04</w:t>
      </w:r>
      <w:r>
        <w:rPr>
          <w:rFonts w:ascii="Times New Roman" w:hAnsi="Times New Roman"/>
          <w:i/>
          <w:sz w:val="20"/>
        </w:rPr>
        <w:t>. Execution, Authentication and Delivery of Notes.</w:t>
      </w:r>
      <w:r>
        <w:rPr>
          <w:rFonts w:ascii="Times New Roman" w:hAnsi="Times New Roman"/>
          <w:sz w:val="20"/>
        </w:rPr>
        <w:t xml:space="preserve"> The Notes shall be signed in the name and on behalf of the Company by the manual, facsimile or other electronic signature of any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Notes executed by the Company to the Trustee for authentication, together with a Company Order (such Company Order to include the terms of the Notes) for the authentication and delivery of such Notes, and the Trustee in accordance with such Company Order shall authenticate and deliver such Notes, without any further action by the Company hereunder; </w:t>
      </w:r>
      <w:r>
        <w:rPr>
          <w:rFonts w:ascii="Times New Roman" w:hAnsi="Times New Roman"/>
          <w:i/>
          <w:sz w:val="20"/>
        </w:rPr>
        <w:t>provided</w:t>
      </w:r>
      <w:r>
        <w:rPr>
          <w:rFonts w:ascii="Times New Roman" w:hAnsi="Times New Roman"/>
          <w:sz w:val="20"/>
        </w:rPr>
        <w:t xml:space="preserve"> that, subject to Section 17.05, the Trustee shall receive an Officers’ Certificate and an Opinion of Counsel of the Company with respect to the issuance, authentication and delivery of such Notes. </w:t>
      </w:r>
    </w:p>
    <w:p>
      <w:pPr>
        <w:pStyle w:val="TextBody"/>
        <w:bidi w:val="0"/>
        <w:spacing w:before="240" w:after="0"/>
        <w:jc w:val="left"/>
        <w:rPr>
          <w:rFonts w:ascii="Times New Roman" w:hAnsi="Times New Roman"/>
          <w:sz w:val="20"/>
        </w:rPr>
      </w:pPr>
      <w:r>
        <w:rPr>
          <w:rFonts w:ascii="Times New Roman" w:hAnsi="Times New Roman"/>
          <w:sz w:val="20"/>
        </w:rPr>
        <w:t xml:space="preserve">Only such Notes as shall bear thereon a certificate of authentication substantially in the form set forth on the Form of Note attached as Exhibit A hereto, executed manually by an authorized signatory of the Trustee (or an authenticating agent appointed by the Trustee as provided by Section 17.10),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 </w:t>
      </w:r>
    </w:p>
    <w:p>
      <w:pPr>
        <w:pStyle w:val="TextBody"/>
        <w:bidi w:val="0"/>
        <w:spacing w:before="240" w:after="0"/>
        <w:jc w:val="left"/>
        <w:rPr>
          <w:rFonts w:ascii="Times New Roman" w:hAnsi="Times New Roman"/>
          <w:sz w:val="20"/>
        </w:rPr>
      </w:pPr>
      <w:r>
        <w:rPr>
          <w:rFonts w:ascii="Times New Roman" w:hAnsi="Times New Roman"/>
          <w:sz w:val="20"/>
        </w:rPr>
        <w:t>Section 2.05</w:t>
      </w:r>
      <w:r>
        <w:rPr>
          <w:rFonts w:ascii="Times New Roman" w:hAnsi="Times New Roman"/>
          <w:i/>
          <w:sz w:val="20"/>
        </w:rPr>
        <w:t>. Exchange and Registration of Transfer of Notes; Restrictions on Transfer; Depositary.</w:t>
      </w:r>
      <w:r>
        <w:rPr>
          <w:rFonts w:ascii="Times New Roman" w:hAnsi="Times New Roman"/>
          <w:sz w:val="20"/>
        </w:rPr>
        <w:t xml:space="preserve"> (a) The Company shall cause to be kept at the Corporate Trust Office a register (the register maintained in such office or in any other office or agency of the Company designated pursuant to Section 4.02, the “</w:t>
      </w:r>
      <w:r>
        <w:rPr>
          <w:rFonts w:ascii="Times New Roman" w:hAnsi="Times New Roman"/>
          <w:b/>
          <w:sz w:val="20"/>
        </w:rPr>
        <w:t>Note Register</w:t>
      </w:r>
      <w:r>
        <w:rPr>
          <w:rFonts w:ascii="Times New Roman" w:hAnsi="Times New Roman"/>
          <w:sz w:val="20"/>
        </w:rPr>
        <w:t>”) in which, subject to such reasonable regulations as it may prescribe, the Company shall provide for the registration of Notes and of transfers of Notes. Such register shall be in written form or in any form capable of being converted into written form within a reasonable period of time. The Trustee is hereby initially appointed the “</w:t>
      </w:r>
      <w:r>
        <w:rPr>
          <w:rFonts w:ascii="Times New Roman" w:hAnsi="Times New Roman"/>
          <w:b/>
          <w:sz w:val="20"/>
        </w:rPr>
        <w:t>Note Registrar</w:t>
      </w:r>
      <w:r>
        <w:rPr>
          <w:rFonts w:ascii="Times New Roman" w:hAnsi="Times New Roman"/>
          <w:sz w:val="20"/>
        </w:rPr>
        <w:t xml:space="preserve">” for the purpose of registering Notes and transfers of Notes as herein provided. The Company may appoint one or more co-Note Registrars in accordance with Section 4.02.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Note to the Note Registrar or any co-Note Registrar, and satisfaction of the requirements for such transfer set forth in this Section 2.05, the Company shall execute, and the Trustee, upon receipt of a Company Order, shall authenticate and deliver, in the name of the designated transferee or transferees, one or more new Notes of any authorized denominations and of a like aggregate principal amount and bearing such restrictive legends as may be required by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authenticate and deliver, the Notes that the Holder making the exchange is entitled to receive, bearing registration numbers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imposed by the Company, the Trustee, the Note Registrar, any co-Note Registrar or the Paying Agent for any exchange or registration of transfer of Notes, but the Company or the Trustee may require a Holder to pay a sum sufficient to cover any documentary, stamp or similar issue or transfer tax required in connection therewith as a result of the name of the Holder of new Notes issued upon such exchange or registration of transfer being different from the name of the Holder of the old Notes surrendered for exchange or registration of transfer.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the Note Registrar or any co-Note Registrar shall be required to exchange or register a transfer of (i) any Notes surrendered for conversion or, if a portion of any Note is surrendered for conversion, such portion thereof surrendered for conversion, (ii) any Notes, or a portion of any Note, surrendered for required repurchase on the Optional Repurchase Date or required repurchase upon a Fundamental Change unless and until the Holder thereof has validly withdrawn the relevant Optional Repurchase Notice or Fundamental Change Repurchase Notice, as the case may be, in accordance with Article 15 or (iii) any Notes selected for Redemption in accordance with Article 16, except the unredeemed portion of any Note being redeemed in part. </w:t>
      </w:r>
    </w:p>
    <w:p>
      <w:pPr>
        <w:pStyle w:val="TextBody"/>
        <w:bidi w:val="0"/>
        <w:spacing w:before="240" w:after="0"/>
        <w:jc w:val="left"/>
        <w:rPr>
          <w:rFonts w:ascii="Times New Roman" w:hAnsi="Times New Roman"/>
          <w:sz w:val="20"/>
        </w:rPr>
      </w:pPr>
      <w:r>
        <w:rPr>
          <w:rFonts w:ascii="Times New Roman" w:hAnsi="Times New Roman"/>
          <w:sz w:val="20"/>
        </w:rPr>
        <w:t xml:space="preserve">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 </w:t>
      </w:r>
    </w:p>
    <w:p>
      <w:pPr>
        <w:pStyle w:val="TextBody"/>
        <w:bidi w:val="0"/>
        <w:spacing w:before="240" w:after="0"/>
        <w:jc w:val="left"/>
        <w:rPr>
          <w:rFonts w:ascii="Times New Roman" w:hAnsi="Times New Roman"/>
          <w:sz w:val="20"/>
        </w:rPr>
      </w:pPr>
      <w:r>
        <w:rPr>
          <w:rFonts w:ascii="Times New Roman" w:hAnsi="Times New Roman"/>
          <w:sz w:val="20"/>
        </w:rPr>
        <w:t>(b) So long as the Notes are eligible for book-entry settlement with the Depositary, unless otherwise required by law, subject to the fourth paragraph from the end of Section 2.05(c) all Notes shall initially be represented by one or more Notes in global form (each, a “</w:t>
      </w:r>
      <w:r>
        <w:rPr>
          <w:rFonts w:ascii="Times New Roman" w:hAnsi="Times New Roman"/>
          <w:b/>
          <w:sz w:val="20"/>
        </w:rPr>
        <w:t>Global Note</w:t>
      </w:r>
      <w:r>
        <w:rPr>
          <w:rFonts w:ascii="Times New Roman" w:hAnsi="Times New Roman"/>
          <w:sz w:val="20"/>
        </w:rPr>
        <w:t xml:space="preserve">”) registered in the name of the Depositary or the nominee of the Depositary. Each Global Note shall bear the legend required on a Global Note set forth in Exhibit A hereto.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Every Note that bears or is required under this Section 2.05(c) to bear the legend set forth in this Section 2.05(c) (together with any ADSs issued upon conversion of the Notes (including the Ordinary Shares represented thereby) that are required to bear the legend set forth in Section 2.05(d), collectively, the “</w:t>
      </w:r>
      <w:r>
        <w:rPr>
          <w:rFonts w:ascii="Times New Roman" w:hAnsi="Times New Roman"/>
          <w:b/>
          <w:sz w:val="20"/>
        </w:rPr>
        <w:t>Restricted Securities</w:t>
      </w:r>
      <w:r>
        <w:rPr>
          <w:rFonts w:ascii="Times New Roman" w:hAnsi="Times New Roman"/>
          <w:sz w:val="20"/>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Times New Roman" w:hAnsi="Times New Roman"/>
          <w:b/>
          <w:sz w:val="20"/>
        </w:rPr>
        <w:t>transfer</w:t>
      </w:r>
      <w:r>
        <w:rPr>
          <w:rFonts w:ascii="Times New Roman" w:hAnsi="Times New Roman"/>
          <w:sz w:val="20"/>
        </w:rPr>
        <w:t xml:space="preserve">” encompasses any sale, pledge, transfer or other disposition whatsoever of any Restricted Security. </w:t>
      </w:r>
    </w:p>
    <w:p>
      <w:pPr>
        <w:pStyle w:val="TextBody"/>
        <w:bidi w:val="0"/>
        <w:spacing w:before="240" w:after="0"/>
        <w:jc w:val="left"/>
        <w:rPr>
          <w:rFonts w:ascii="Times New Roman" w:hAnsi="Times New Roman"/>
          <w:sz w:val="20"/>
        </w:rPr>
      </w:pPr>
      <w:r>
        <w:rPr>
          <w:rFonts w:ascii="Times New Roman" w:hAnsi="Times New Roman"/>
          <w:sz w:val="20"/>
        </w:rPr>
        <w:t>Until the date (the “</w:t>
      </w:r>
      <w:r>
        <w:rPr>
          <w:rFonts w:ascii="Times New Roman" w:hAnsi="Times New Roman"/>
          <w:b/>
          <w:sz w:val="20"/>
        </w:rPr>
        <w:t>Resale Restriction Termination Date</w:t>
      </w:r>
      <w:r>
        <w:rPr>
          <w:rFonts w:ascii="Times New Roman" w:hAnsi="Times New Roman"/>
          <w:sz w:val="20"/>
        </w:rPr>
        <w:t xml:space="preserve">”) that is the later of (1) the date that is one year after the last date of original issuance of the Notes, or such shorter period of time as permitted by Rule 144 or any successor provision thereto, and (2) such later date, if any, as may be required by applicable law, any certificate evidencing such Note (and all securities issued in exchange therefor or substitution thereof, other than the ADSs, if any, issued upon conversion thereof (including the Ordinary Shares represented thereby),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 </w:t>
      </w:r>
    </w:p>
    <w:p>
      <w:pPr>
        <w:pStyle w:val="TextBody"/>
        <w:bidi w:val="0"/>
        <w:spacing w:before="120" w:after="0"/>
        <w:jc w:val="left"/>
        <w:rPr>
          <w:rFonts w:ascii="Times New Roman" w:hAnsi="Times New Roman"/>
          <w:sz w:val="20"/>
        </w:rPr>
      </w:pPr>
      <w:r>
        <w:rPr>
          <w:rFonts w:ascii="Times New Roman" w:hAnsi="Times New Roman"/>
          <w:sz w:val="20"/>
        </w:rPr>
        <w:t>THE OFFER AND SALE OF THIS NOTE, THE AMERICAN DEPOSITARY SHARES, IF ANY, ISSUABLE UPON CONVERSION OF THIS NOTE AND THE ORDINARY SHARES REPRESENTED THEREBY HAVE NOT BEEN REGISTERED UNDER THE SECURITIES ACT OF 1933, AS AMENDED (THE “</w:t>
      </w:r>
      <w:r>
        <w:rPr>
          <w:rFonts w:ascii="Times New Roman" w:hAnsi="Times New Roman"/>
          <w:b/>
          <w:sz w:val="20"/>
        </w:rPr>
        <w:t>SECURITIES ACT</w:t>
      </w:r>
      <w:r>
        <w:rPr>
          <w:rFonts w:ascii="Times New Roman" w:hAnsi="Times New Roman"/>
          <w:sz w:val="20"/>
        </w:rPr>
        <w:t xml:space="preserve">”), AND THIS NOTE, THE AMERICAN DEPOSITARY SHARES, IF ANY, ISSUABLE UPON CONVERSION OF THIS NOTE AND THE ORDINARY SHARES REPRESENTED THEREBY MAY NOT BE OFFERED, SOLD, PLEDGED OR OTHERWISE TRANSFERRED EXCEPT IN ACCORDANCE WITH THE FOLLOWING SENTENCE. BY ITS ACQUISITION HEREOF OR OF A BENEFICIAL INTEREST HEREIN, THE ACQUIRER: </w:t>
      </w:r>
    </w:p>
    <w:p>
      <w:pPr>
        <w:pStyle w:val="TextBody"/>
        <w:bidi w:val="0"/>
        <w:spacing w:before="120" w:after="0"/>
        <w:jc w:val="left"/>
        <w:rPr>
          <w:rFonts w:ascii="Times New Roman" w:hAnsi="Times New Roman"/>
          <w:sz w:val="20"/>
        </w:rPr>
      </w:pPr>
      <w:r>
        <w:rPr>
          <w:rFonts w:ascii="Times New Roman" w:hAnsi="Times New Roman"/>
          <w:sz w:val="20"/>
        </w:rPr>
        <w:t xml:space="preserve">(1) REPRESENTS THAT IT AND ANY ACCOUNT FOR WHICH IT IS ACTING IS A “QUALIFIED INSTITUTIONAL BUYER” (WITHIN THE MEANING OF RULE 144A UNDER THE SECURITIES ACT) AND THAT IT EXERCISES SOLE INVESTMENT DISCRETION WITH RESPECT TO EACH SUCH ACCOUNT;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(2) AGREES FOR THE BENEFIT OF SILICON MOTION TECHNOLOGY CORPORATION (THE “</w:t>
      </w:r>
      <w:r>
        <w:rPr>
          <w:rFonts w:ascii="Times New Roman" w:hAnsi="Times New Roman"/>
          <w:b/>
          <w:sz w:val="20"/>
        </w:rPr>
        <w:t>COMPANY</w:t>
      </w:r>
      <w:r>
        <w:rPr>
          <w:rFonts w:ascii="Times New Roman" w:hAnsi="Times New Roman"/>
          <w:sz w:val="20"/>
        </w:rPr>
        <w:t xml:space="preserve">”) THAT IT WILL NOT OFFER, SELL, PLEDGE OR OTHERWISE TRANSFER THIS NOTE, THE AMERICAN DEPOSITARY SHARES, IF ANY, ISSUABLE UPON CONVERSION OF THIS NOTE AND THE ORDINARY SHARES REPRESENTED THEREBY,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 </w:t>
      </w:r>
    </w:p>
    <w:p>
      <w:pPr>
        <w:pStyle w:val="TextBody"/>
        <w:bidi w:val="0"/>
        <w:spacing w:before="120" w:after="0"/>
        <w:jc w:val="left"/>
        <w:rPr>
          <w:rFonts w:ascii="Times New Roman" w:hAnsi="Times New Roman"/>
          <w:sz w:val="20"/>
        </w:rPr>
      </w:pPr>
      <w:r>
        <w:rPr>
          <w:rFonts w:ascii="Times New Roman" w:hAnsi="Times New Roman"/>
          <w:sz w:val="20"/>
        </w:rPr>
        <w:t xml:space="preserve">(A) TO THE COMPANY OR ANY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(B) PURSUANT TO A REGISTRATION STATEMENT THAT HAS BEEN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(C) TO A PERSON REASONABLY BELIEVED TO BE A QUALIFIED INSTITUTIONAL BUYER THAT IS PURCHASING FOR ITS OWN ACCOUNT OR FOR THE ACCOUNT OF ANOTHER QUALIFIED INSTITUTIONAL BUYER AND TO WHOM NOTICE IS GIVEN THAT THE TRANSFER IS BEING MADE IN RELIANCE ON RULE 144A, ALL IN COMPLIANCE WITH RULE 144A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(D) PURSUANT TO THE EXEMPTION FROM REGISTRATION PROVIDED BY RULE 144 UNDER THE SECURITIES ACT (IF AVAILABLE) OR ANY OTHER AVAILABLE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CLAUSE (2)(D) ABOVE, THE COMPANY AND THE TRUSTEE RESERVE THE RIGHT TO REQUIRE THE DELIVERY OF SUCH LEGAL OPINIONS, CERTIFICATIONS OR OTHER EVIDENCE AS MAY REASONABLY BE REQUIRED IN ORDER FOR THEM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No transfer of any Note prior to the Resale Restriction Termination Date will be registered by the Note Registrar unless the applicable box on the Form of Assignment and Transfer has been checked. </w:t>
      </w:r>
    </w:p>
    <w:p>
      <w:pPr>
        <w:pStyle w:val="TextBody"/>
        <w:bidi w:val="0"/>
        <w:spacing w:before="240" w:after="0"/>
        <w:jc w:val="left"/>
        <w:rPr>
          <w:rFonts w:ascii="Times New Roman" w:hAnsi="Times New Roman"/>
          <w:sz w:val="20"/>
        </w:rPr>
      </w:pPr>
      <w:r>
        <w:rPr>
          <w:rFonts w:ascii="Times New Roman" w:hAnsi="Times New Roman"/>
          <w:sz w:val="20"/>
        </w:rPr>
        <w:t xml:space="preserve">Any Note (or security issued in exchange or substitution therefor) (i) as to which such restrictions on transfer shall have expired in accordance with their terms, (ii) that has been transferred pursuant to a registration statement that has become effective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such Note for exchange to the Note Registrar in accordance with the provisions of this Section 2.05, be exchanged for a new Note or Notes, of like tenor and aggregate principal amount, which shall not bear the restrictive legend required by this Section 2.05(c) and shall not be assigned a restricted CUSIP number. The Company shall be entitled to instruct the Custodian in writing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so surrender any Global Note as to which any of the conditions set forth in clauses (i) through (iii) of the immediately preceding sentence have been satisfied, and, upon such instruction, the Custodian shall so surrender such Global Note for exchange; and any new Global Note so exchanged therefor shall not bear the restrictive legend specified in this Section 2.05(c) and shall not be assigned a restricted CUSIP number. The Company shall promptly notify the Trustee in writing upon the occurrence of the Resale Restriction Termination Date and promptly after a registration statement, if any, with respect to the Notes or any ADSs issued upon conversion of the Notes (including the Ordinary Shares represented thereby) has been declared effective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exchange of a Global Note or a portion thereof for one or more Physical Notes in accordance with the second immediately succeeding paragraph. </w:t>
      </w:r>
    </w:p>
    <w:p>
      <w:pPr>
        <w:pStyle w:val="TextBody"/>
        <w:bidi w:val="0"/>
        <w:spacing w:before="240" w:after="0"/>
        <w:jc w:val="left"/>
        <w:rPr>
          <w:rFonts w:ascii="Times New Roman" w:hAnsi="Times New Roman"/>
          <w:sz w:val="20"/>
        </w:rPr>
      </w:pPr>
      <w:r>
        <w:rPr>
          <w:rFonts w:ascii="Times New Roman" w:hAnsi="Times New Roman"/>
          <w:sz w:val="20"/>
        </w:rPr>
        <w:t xml:space="preserve">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 </w:t>
      </w:r>
    </w:p>
    <w:p>
      <w:pPr>
        <w:pStyle w:val="TextBody"/>
        <w:bidi w:val="0"/>
        <w:spacing w:before="240" w:after="0"/>
        <w:jc w:val="left"/>
        <w:rPr>
          <w:rFonts w:ascii="Times New Roman" w:hAnsi="Times New Roman"/>
          <w:sz w:val="20"/>
        </w:rPr>
      </w:pPr>
      <w:r>
        <w:rPr>
          <w:rFonts w:ascii="Times New Roman" w:hAnsi="Times New Roman"/>
          <w:sz w:val="20"/>
        </w:rPr>
        <w:t xml:space="preserve">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any Note requests that its beneficial interest therein be issued as a Physical Note, the Company shall execute, and the Trustee, upon receipt of an Officers’ Certificate, an Opinion of Counsel and a Company Order for the authentication and delivery of Notes, shall authenticate and deliver (x) in the case of clause (iii), a Physical Note to such beneficial owner in a principal amount equal to the principal amount of such Note corresponding to such beneficial owner’s beneficial interest and (y) in the case of clause (i) or (ii), Physical Notes to each beneficial owner of the related Global Notes (or a portion thereof) in an aggregate principal amount equal to the aggregate principal amount of such Global Notes in exchange for such Global Notes, and upon delivery of the Global Notes to the Trustee such Global Notes shall be canceled. </w:t>
      </w:r>
    </w:p>
    <w:p>
      <w:pPr>
        <w:pStyle w:val="TextBody"/>
        <w:bidi w:val="0"/>
        <w:spacing w:before="240" w:after="0"/>
        <w:jc w:val="left"/>
        <w:rPr>
          <w:rFonts w:ascii="Times New Roman" w:hAnsi="Times New Roman"/>
          <w:sz w:val="20"/>
        </w:rPr>
      </w:pPr>
      <w:r>
        <w:rPr>
          <w:rFonts w:ascii="Times New Roman" w:hAnsi="Times New Roman"/>
          <w:sz w:val="20"/>
        </w:rPr>
        <w:t xml:space="preserve">Physical Notes issued in exchange for all or a part of the Global Note pursuant to this Section 2.05(c) shall be registered in such names and in such authorized denominations as the Depositary, pursuant to instructions from its direct or indirect participants or otherwise, or, in the case of clause (iii) of the immediately preceding paragraph, the relevant beneficial owner, shall instruct the Trustee. Upon execution and authentication, the Trustee shall deliver such Physical Notes to the Persons in whose names such Physical Notes are so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such time as all interests in a Global Note have been converted, canceled, repurchased, redeemed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redeemed or transferred to a transferee who receives Physical Notes therefor or any Physical Note is 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(including in its capacity as Paying Agent) 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 or for any act or omission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all actions with respect to Global Notes shall be effective in accordance with the applicable procedures, cutoffs, and requirements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(d) Until the Resale Restriction Termination Date, any certificate representing ADSs issued upon conversion of a Note (including the Ordinary Shares represented thereby) shall bear a legend in substantially the following form (unless such ADSs (including the Ordinary Shares represented thereby) have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ADSs (including the Ordinary Shares represented thereby) have been issued upon conversion of a Note that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and the ADS Depositary with written notice thereof to the Trustee): </w:t>
      </w:r>
    </w:p>
    <w:p>
      <w:pPr>
        <w:pStyle w:val="TextBody"/>
        <w:bidi w:val="0"/>
        <w:spacing w:before="120" w:after="0"/>
        <w:jc w:val="left"/>
        <w:rPr>
          <w:rFonts w:ascii="Times New Roman" w:hAnsi="Times New Roman"/>
          <w:sz w:val="20"/>
        </w:rPr>
      </w:pPr>
      <w:r>
        <w:rPr>
          <w:rFonts w:ascii="Times New Roman" w:hAnsi="Times New Roman"/>
          <w:sz w:val="20"/>
        </w:rPr>
        <w:t>THE OFFER AND SALE OF THE ORDINARY SHARES REPRESENTED BY THE AMERICAN DEPOSITARY SHARES EVIDENCED HEREBY HAVE NOT BEEN REGISTERED UNDER THE SECURITIES ACT OF 1933, AS AMENDED (THE “</w:t>
      </w:r>
      <w:r>
        <w:rPr>
          <w:rFonts w:ascii="Times New Roman" w:hAnsi="Times New Roman"/>
          <w:b/>
          <w:sz w:val="20"/>
        </w:rPr>
        <w:t>SECURITIES ACT</w:t>
      </w:r>
      <w:r>
        <w:rPr>
          <w:rFonts w:ascii="Times New Roman" w:hAnsi="Times New Roman"/>
          <w:sz w:val="20"/>
        </w:rPr>
        <w:t xml:space="preserve">”), AND THOSE AMERICAN DEPOSITARY SHARES AND ORDINARY SHARES MAY NOT BE OFFERED, SOLD, PLEDGED OR OTHERWISE TRANSFERRED EXCEPT IN ACCORDANCE WITH THE FOLLOWING SENTENCE. BY ITS ACQUISITION HEREOF OR OF A BENEFICIAL INTEREST HEREIN, THE ACQUIRER: </w:t>
      </w:r>
    </w:p>
    <w:p>
      <w:pPr>
        <w:pStyle w:val="TextBody"/>
        <w:bidi w:val="0"/>
        <w:spacing w:before="120" w:after="0"/>
        <w:jc w:val="left"/>
        <w:rPr>
          <w:rFonts w:ascii="Times New Roman" w:hAnsi="Times New Roman"/>
          <w:sz w:val="20"/>
        </w:rPr>
      </w:pPr>
      <w:r>
        <w:rPr>
          <w:rFonts w:ascii="Times New Roman" w:hAnsi="Times New Roman"/>
          <w:sz w:val="20"/>
        </w:rPr>
        <w:t>(1) REPRESENTS THAT IT AND ANY ACCOUNT FOR WHICH IT IS ACTING IS A “QUALIFIED INSTITUTIONAL BUYER” (WITHIN THE MEANING OF RULE 144A UNDER THE SECURITIES ACT) AND THAT IT EXERCISES SOLE INVESTMENT DISCRETION WITH RESPECT TO EACH SUCH ACCOUNT AND THAT IT AND ANY SUCH ACCOUNT IS NOT AN AFFILIATE OF SILICON MOTION TECHNOLOGY CORPORATION (THE “</w:t>
      </w:r>
      <w:r>
        <w:rPr>
          <w:rFonts w:ascii="Times New Roman" w:hAnsi="Times New Roman"/>
          <w:b/>
          <w:sz w:val="20"/>
        </w:rPr>
        <w:t>COMPANY</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AGREES FOR THE BENEFIT OF THE COMPANY AND THE ADS DEPOSITARY THAT IT WILL NOT OFFER, SELL, PLEDGE OR OTHERWISE TRANSFER THE AMERICAN DEPOSITARY SHARES EVIDENCED HEREBY OR THE ORDINARY SHARES REPRESENTED THEREBY OR ANY BENEFICIAL INTEREST THEREIN PRIOR TO THE DATE THAT IS THE LATER OF (X) ONE YEAR AFTER THE ORIGINAL ISSUE DATE OF THE NOTES UPON THE CONVERSION OF WHICH THOSE AMERICAN DEPOSITARY SHARES WERE ISSUED OR SUCH SHORTER PERIOD OF TIME AS PERMITTED BY RULE 144 UNDER THE SECURITIES ACT OR ANY SUCCESSOR PROVISION THERETO AND (Y) SUCH LATER DATE, IF ANY, AS MAY BE REQUIRED BY APPLICABLE LAW, EXCEPT: </w:t>
      </w:r>
    </w:p>
    <w:p>
      <w:pPr>
        <w:pStyle w:val="TextBody"/>
        <w:bidi w:val="0"/>
        <w:spacing w:before="120" w:after="0"/>
        <w:jc w:val="left"/>
        <w:rPr>
          <w:rFonts w:ascii="Times New Roman" w:hAnsi="Times New Roman"/>
          <w:sz w:val="20"/>
        </w:rPr>
      </w:pPr>
      <w:r>
        <w:rPr>
          <w:rFonts w:ascii="Times New Roman" w:hAnsi="Times New Roman"/>
          <w:sz w:val="20"/>
        </w:rPr>
        <w:t xml:space="preserve">(A) TO THE COMPANY OR ANY SUBSIDIARY THEREOF; </w:t>
      </w:r>
    </w:p>
    <w:p>
      <w:pPr>
        <w:pStyle w:val="TextBody"/>
        <w:bidi w:val="0"/>
        <w:spacing w:before="120" w:after="0"/>
        <w:jc w:val="left"/>
        <w:rPr>
          <w:rFonts w:ascii="Times New Roman" w:hAnsi="Times New Roman"/>
          <w:sz w:val="20"/>
        </w:rPr>
      </w:pPr>
      <w:r>
        <w:rPr>
          <w:rFonts w:ascii="Times New Roman" w:hAnsi="Times New Roman"/>
          <w:sz w:val="20"/>
        </w:rPr>
        <w:t xml:space="preserve">(B) PURSUANT TO A REGISTRATION STATEMENT THAT HAS BEEN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(C) TO A PERSON REASONABLY BELIEVED TO BE A QUALIFIED INSTITUTIONAL BUYER THAT IS PURCHASING FOR ITS OWN ACCOUNT OR FOR THE ACCOUNT OF ANOTHER QUALIFIED INSTITUTIONAL BUYER AND TO WHOM NOTICE IS GIVEN THAT THE TRANSFER IS BEING MADE IN RELIANCE ON RULE 144A, ALL IN COMPLIANCE WITH RULE 144A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(D) PURSUANT TO THE EXEMPTION FROM REGISTRATION PROVIDED BY RULE 144 UNDER THE SECURITIES ACT (IF AVAILABLE) OR ANY OTHER AVAILABLE EXEMPTION FROM THE REGISTRATION REQUIREMENTS OF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(E) IN AN OFFSHORE TRANSACTION IN COMPLIANCE WITH REGULATION 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CLAUSE (2)(D) OR CLAUSE 2(E) ABOVE, THE COMPANY AND THE ADS DEPOSITARY RESERVE THE RIGHT TO REQUIRE THE DELIVERY OF SUCH LEGAL OPINIONS, CERTIFICATIONS OR OTHER EVIDENCE AS MAY REASONABLY BE REQUIRED IN ORDER FOR THEM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ADSs (i) as to which such restrictions on transfer shall have expired in accordance with their terms, (ii) that has been transferred pursuant to a registration statement that has become or been declared effective under the Securities Act and that continues to be effective at the time of such transfer or (iii) that has been sold pursuant to the exemption from registration provided by Rule 144 or any similar provision then in force under the Securities Act, may, upon surrender of the certificates representing such ADSs for exchange in accordance with the procedures of the ADS Depositary and the Restricted Issuance Agreement, as applicable, be exchanged for a new certificate or certificates for a like aggregate number of ADSs, which shall not bear the restrictive legend required by this Section 2.05(d).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have no obligation or duty to monitor, determine or inquire as to compliance with any restrictions on transfer imposed under this Indenture or under applicable law with respect to any transfer of any interest in any Note (including any transfers between or among Depositary participants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w:t>
      </w:r>
    </w:p>
    <w:p>
      <w:pPr>
        <w:pStyle w:val="TextBody"/>
        <w:bidi w:val="0"/>
        <w:spacing w:before="240" w:after="0"/>
        <w:jc w:val="left"/>
        <w:rPr>
          <w:rFonts w:ascii="Times New Roman" w:hAnsi="Times New Roman"/>
          <w:sz w:val="20"/>
        </w:rPr>
      </w:pPr>
      <w:r>
        <w:rPr>
          <w:rFonts w:ascii="Times New Roman" w:hAnsi="Times New Roman"/>
          <w:sz w:val="20"/>
        </w:rPr>
        <w:t xml:space="preserve">(e) Any Note or ADSs (including the Ordinary Shares represented thereby) issued upon the conversion or exchange of a Note that are repurchased or owned by any Affiliate of the Company (or any Person who was an Affiliate of the Company at any time during the three months immediately preceding) may not be resold by such Affiliate (or such Person, as the case may be) unless registered under the Securities Act or resold pursuant to an exemption from the registration requirements of the Securities Act in a transaction that results in such Note or ADSs (including the Ordinary Shares represented thereby), as the case may be, no longer being “restricted securities” (as defined under Rule 144). The Company shall cause any Note that is repurchased or owned by it to be surrendered to the Trustee for cancellation in accordance with Section 2.08. </w:t>
      </w:r>
    </w:p>
    <w:p>
      <w:pPr>
        <w:pStyle w:val="TextBody"/>
        <w:bidi w:val="0"/>
        <w:spacing w:before="240" w:after="0"/>
        <w:jc w:val="left"/>
        <w:rPr>
          <w:rFonts w:ascii="Times New Roman" w:hAnsi="Times New Roman"/>
          <w:sz w:val="20"/>
        </w:rPr>
      </w:pPr>
      <w:r>
        <w:rPr>
          <w:rFonts w:ascii="Times New Roman" w:hAnsi="Times New Roman"/>
          <w:sz w:val="20"/>
        </w:rPr>
        <w:t>Section 2.06</w:t>
      </w:r>
      <w:r>
        <w:rPr>
          <w:rFonts w:ascii="Times New Roman" w:hAnsi="Times New Roman"/>
          <w:i/>
          <w:sz w:val="20"/>
        </w:rPr>
        <w:t>. Mutilated, Destroyed, Lost or Stolen Notes.</w:t>
      </w:r>
      <w:r>
        <w:rPr>
          <w:rFonts w:ascii="Times New Roman" w:hAnsi="Times New Roman"/>
          <w:sz w:val="20"/>
        </w:rPr>
        <w:t xml:space="preserve"> In case any Note shall become mutilated or be destroyed, lost or stolen, the Company in its discretion may execute, and upon its written request in a Company Order the Trustee or an authenticating agent appointed by the Trustee shall authenticate and deliver, a new Note, bearing a registration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claim,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Trustee or such authenticating agent may authenticate any such substituted Note and deliver the same upon the receipt of a Company Order and such security or indemnity as the Trustee, the Company and, if applicable, such authenticating agent may require. No service charge shall be imposed by the Company, the Trustee, the Note Registrar, any co-Note Registrar or the Paying Agent upon the issuance of any substitute Note, but the Company may require a Holder to pay a sum sufficient to cover any documentary, stamp or similar issue or transfer tax required in connection therewith as a result of the name of the Holder of the new substitute Note being different from the name of the Holder of the old Note that became mutilated or was destroyed, lost or stolen. In case any Note that has matured or is about to mature or has been surrendered for required repurchase or is about to be converted in accordance with Article 14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claim,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 </w:t>
      </w:r>
    </w:p>
    <w:p>
      <w:pPr>
        <w:pStyle w:val="TextBody"/>
        <w:bidi w:val="0"/>
        <w:spacing w:before="240" w:after="0"/>
        <w:jc w:val="left"/>
        <w:rPr>
          <w:rFonts w:ascii="Times New Roman" w:hAnsi="Times New Roman"/>
          <w:sz w:val="20"/>
        </w:rPr>
      </w:pPr>
      <w:r>
        <w:rPr>
          <w:rFonts w:ascii="Times New Roman" w:hAnsi="Times New Roman"/>
          <w:sz w:val="20"/>
        </w:rPr>
        <w:t xml:space="preserve">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payment, redemption, conversion or repurchase of mutilated, destroyed, lost or stolen Notes and shall preclude any and all other rights or remedies notwithstanding any law or statute existing or hereafter enacted to the contrary with respect to the replacement, payment, redemption, conversion or repurchase of negotiable instruments or other securities without their surrender. </w:t>
      </w:r>
    </w:p>
    <w:p>
      <w:pPr>
        <w:pStyle w:val="TextBody"/>
        <w:bidi w:val="0"/>
        <w:spacing w:before="240" w:after="0"/>
        <w:jc w:val="left"/>
        <w:rPr>
          <w:rFonts w:ascii="Times New Roman" w:hAnsi="Times New Roman"/>
          <w:sz w:val="20"/>
        </w:rPr>
      </w:pPr>
      <w:r>
        <w:rPr>
          <w:rFonts w:ascii="Times New Roman" w:hAnsi="Times New Roman"/>
          <w:sz w:val="20"/>
        </w:rPr>
        <w:t>Section 2.07</w:t>
      </w:r>
      <w:r>
        <w:rPr>
          <w:rFonts w:ascii="Times New Roman" w:hAnsi="Times New Roman"/>
          <w:i/>
          <w:sz w:val="20"/>
        </w:rPr>
        <w:t>. Temporary Notes.</w:t>
      </w:r>
      <w:r>
        <w:rPr>
          <w:rFonts w:ascii="Times New Roman" w:hAnsi="Times New Roman"/>
          <w:sz w:val="20"/>
        </w:rPr>
        <w:t xml:space="preserve"> Pending the preparation of Physical Notes, the Company may execute and the Trustee or an authenticating agent appointed by the Trustee shall, upon written request of the Company in a Company Order,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shall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2.08</w:t>
      </w:r>
      <w:r>
        <w:rPr>
          <w:rFonts w:ascii="Times New Roman" w:hAnsi="Times New Roman"/>
          <w:i/>
          <w:sz w:val="20"/>
        </w:rPr>
        <w:t>. Cancellation of Notes Paid, Converted, Etc.</w:t>
      </w:r>
      <w:r>
        <w:rPr>
          <w:rFonts w:ascii="Times New Roman" w:hAnsi="Times New Roman"/>
          <w:sz w:val="20"/>
        </w:rPr>
        <w:t xml:space="preserve"> The Company shall cause all Notes surrendered for the purpose of payment on the Maturity Date, repurchase upon a Fundamental Change or on the Optional Repurchase Date, Redemption, registration of transfer or exchange or conversion (other than any Notes exchanged pursuant to Section 14.12), if surrendered to any Person other than the Trustee (including any of the Company’s agents, Subsidiaries or Affiliates), to be surrendered to the Trustee for cancellation. Concurrently with the surrendering of such Notes, the Company shall deliver a cancellation order to the Trustee. All Notes delivered to the Trustee shall be canceled promptly by it in accordance with its customary procedures upon receipt of a written request contained in a cancellation order. Except for any Notes surrendered for registration of transfer or exchange, or as otherwise expressly permitted by any of the provisions of this Indenture, no Notes shall be authenticated in exchange for any Notes surrendered to the Trustee for cancellation. The Trustee shall dispose of canceled Notes in accordance with its customary procedures and, after such disposition, shall deliver a certificate of such disposition to the Company, at the Company’s written request in a Company Order. </w:t>
      </w:r>
    </w:p>
    <w:p>
      <w:pPr>
        <w:pStyle w:val="TextBody"/>
        <w:bidi w:val="0"/>
        <w:spacing w:before="240" w:after="0"/>
        <w:jc w:val="left"/>
        <w:rPr>
          <w:rFonts w:ascii="Times New Roman" w:hAnsi="Times New Roman"/>
          <w:sz w:val="20"/>
        </w:rPr>
      </w:pPr>
      <w:r>
        <w:rPr>
          <w:rFonts w:ascii="Times New Roman" w:hAnsi="Times New Roman"/>
          <w:sz w:val="20"/>
        </w:rPr>
        <w:t>Section 2.09</w:t>
      </w:r>
      <w:r>
        <w:rPr>
          <w:rFonts w:ascii="Times New Roman" w:hAnsi="Times New Roman"/>
          <w:i/>
          <w:sz w:val="20"/>
        </w:rPr>
        <w:t>. CUSIP Numbers.</w:t>
      </w:r>
      <w:r>
        <w:rPr>
          <w:rFonts w:ascii="Times New Roman" w:hAnsi="Times New Roman"/>
          <w:sz w:val="20"/>
        </w:rPr>
        <w:t xml:space="preserve"> The Company in issuing the Notes may use “CUSIP” numbers (if then generally in use), and, if so, the Company and/or Trustee shall use “CUSIP” numbers in all notices issued to Holders as a convenience to such Holders; </w:t>
      </w:r>
      <w:r>
        <w:rPr>
          <w:rFonts w:ascii="Times New Roman" w:hAnsi="Times New Roman"/>
          <w:i/>
          <w:sz w:val="20"/>
        </w:rPr>
        <w:t>provided</w:t>
      </w:r>
      <w:r>
        <w:rPr>
          <w:rFonts w:ascii="Times New Roman" w:hAnsi="Times New Roman"/>
          <w:sz w:val="20"/>
        </w:rPr>
        <w:t xml:space="preserve"> that the Trustee shall have no liability for any defect in the “CUSIP” numbers as they appear on any Note, notice or elsewhere, and, </w:t>
      </w:r>
      <w:r>
        <w:rPr>
          <w:rFonts w:ascii="Times New Roman" w:hAnsi="Times New Roman"/>
          <w:i/>
          <w:sz w:val="20"/>
        </w:rPr>
        <w:t>provided, further</w:t>
      </w:r>
      <w:r>
        <w:rPr>
          <w:rFonts w:ascii="Times New Roman" w:hAnsi="Times New Roman"/>
          <w:sz w:val="20"/>
        </w:rPr>
        <w:t xml:space="preserve">, that any such notice may state that no representation is made as to the correctness of such numbers either as printed on the Notes or on such notice and that reliance may be placed only on the other identification numbers printed on the Notes. The Company shall promptly notify the Trustee in writing of any change in the “CUSIP” numbers. </w:t>
      </w:r>
    </w:p>
    <w:p>
      <w:pPr>
        <w:pStyle w:val="TextBody"/>
        <w:bidi w:val="0"/>
        <w:spacing w:before="240" w:after="0"/>
        <w:jc w:val="left"/>
        <w:rPr>
          <w:rFonts w:ascii="Times New Roman" w:hAnsi="Times New Roman"/>
          <w:sz w:val="20"/>
        </w:rPr>
      </w:pPr>
      <w:r>
        <w:rPr>
          <w:rFonts w:ascii="Times New Roman" w:hAnsi="Times New Roman"/>
          <w:sz w:val="20"/>
        </w:rPr>
        <w:t>Section 2.10</w:t>
      </w:r>
      <w:r>
        <w:rPr>
          <w:rFonts w:ascii="Times New Roman" w:hAnsi="Times New Roman"/>
          <w:i/>
          <w:sz w:val="20"/>
        </w:rPr>
        <w:t>. Additional Notes; Repurchases.</w:t>
      </w:r>
      <w:r>
        <w:rPr>
          <w:rFonts w:ascii="Times New Roman" w:hAnsi="Times New Roman"/>
          <w:sz w:val="20"/>
        </w:rPr>
        <w:t xml:space="preserve"> The Company may, without the consent of, or notice to, the Holders and notwithstanding Section 2.01, reopen this Indenture and issue additional Notes hereunder with the same terms and with the same CUSIP number as the Notes initially issued hereunder (other than differences in the issue date, the issue price, Special Interest, if any, accrued prior to the issue date of such additional Notes and, if applicable, restrictions on transfer in respect of such additional Notes) in an unlimited aggregate principal amount; </w:t>
      </w:r>
      <w:r>
        <w:rPr>
          <w:rFonts w:ascii="Times New Roman" w:hAnsi="Times New Roman"/>
          <w:i/>
          <w:sz w:val="20"/>
        </w:rPr>
        <w:t>provided</w:t>
      </w:r>
      <w:r>
        <w:rPr>
          <w:rFonts w:ascii="Times New Roman" w:hAnsi="Times New Roman"/>
          <w:sz w:val="20"/>
        </w:rPr>
        <w:t xml:space="preserve"> that if any such additional Notes are not fungible with the Notes initially issued hereunder for U.S. federal income tax or securities laws purposes, such additional Notes shall have a separate CUSIP number or no CUSIP number. The Notes initially issued hereunder and any additional Notes would rank equally and ratably vis-à -vis each other and would be treated as a single series for all purposes under this Indenture (except to the extent set forth in the immediately preceding sentence). Prior to the issuance of any such additional Notes, the Company shall deliver to the Trustee a Company Order, an Officers’ Certificate and an Opinion of Counsel, and such Officers’ Certificate and Opinion of Counsel shall cover the matters required by Section 17.05, and such Opinion of Counsel shall state that such Notes, when authenticated and delivered by the Trustee and issued by the Company in the manner and subject to any conditions specified in such Opinion of Counsel and other customary qualifications and exceptions, will constitute valid and legally binding obligations of the Company, enforceable in accordance with their terms. 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to private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agreements, including by cash-settled swaps or other derivatives, in each case, without prior written notice to or consent of the Holders. The Company shall cause any Notes so repurchased (other than Notes repurchased pursuant to cash-settled swaps or other derivatives) to be surrendered to the Trustee for cancellation in accordance with Section 2.08 and such Notes shall no longer be considered outstanding under this Indenture upon their surrender, and upon receipt of a written order from the Company, the Trustee will cancel all the Notes so surrendered. </w:t>
      </w:r>
    </w:p>
    <w:p>
      <w:pPr>
        <w:pStyle w:val="TextBody"/>
        <w:bidi w:val="0"/>
        <w:spacing w:before="480" w:after="0"/>
        <w:jc w:val="center"/>
        <w:rPr>
          <w:rFonts w:ascii="Times New Roman" w:hAnsi="Times New Roman"/>
          <w:sz w:val="20"/>
        </w:rPr>
      </w:pPr>
      <w:r>
        <w:rPr>
          <w:rFonts w:ascii="Times New Roman" w:hAnsi="Times New Roman"/>
          <w:sz w:val="20"/>
        </w:rPr>
        <w:t xml:space="preserve">ARTICLE 3 </w:t>
      </w:r>
    </w:p>
    <w:p>
      <w:pPr>
        <w:pStyle w:val="TextBody"/>
        <w:bidi w:val="0"/>
        <w:spacing w:before="0" w:after="0"/>
        <w:jc w:val="center"/>
        <w:rPr>
          <w:rFonts w:ascii="Times New Roman" w:hAnsi="Times New Roman"/>
          <w:sz w:val="20"/>
        </w:rPr>
      </w:pPr>
      <w:r>
        <w:rPr>
          <w:rFonts w:ascii="Times New Roman" w:hAnsi="Times New Roman"/>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Section 3.01</w:t>
      </w:r>
      <w:r>
        <w:rPr>
          <w:rFonts w:ascii="Times New Roman" w:hAnsi="Times New Roman"/>
          <w:i/>
          <w:sz w:val="20"/>
        </w:rPr>
        <w:t>. Satisfaction and Discharge.</w:t>
      </w:r>
      <w:r>
        <w:rPr>
          <w:rFonts w:ascii="Times New Roman" w:hAnsi="Times New Roman"/>
          <w:sz w:val="20"/>
        </w:rPr>
        <w:t xml:space="preserve"> This Indenture and the Notes shall upon request of the Company contained in an Officers’ Certificate cease to be of further effect, and the Trustee, at the expense of the Company, shall execute such instruments reasonably requested by the Company acknowledging satisfaction and discharge of this Indenture and the Notes, when (a) (i) all Notes theretofore authenticated and delivered (other than (x) Notes which have been destroyed, lost or stolen and which have been replaced, paid or converted as provided in Section 2.06 and (y) Notes for whose payment money has heretofore been deposited in trust or segregated and held in trust by the Company and thereafter repaid to the Company or discharged from such trust, as provided in Section 4.04(d)) have been delivered to the Trustee for cancellation; or (ii) the Company has deposited with the Trustee or delivered to Holders, as applicable, after the Notes have become due and payable, whether on the Maturity Date, any Redemption Date, the Optional Repurchase Date, any Fundamental Change Repurchase Date, upon conversion or otherwise, cash or cash and ADSs, if any (solely to satisfy the Company’s Conversion Obligation, if applicable),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and the Notes or the earlier resignation or removal of the Trustee, the obligations of the Company to the Trustee under Section 7.06 shall survive.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0" w:after="0"/>
        <w:jc w:val="center"/>
        <w:rPr>
          <w:rFonts w:ascii="Times New Roman" w:hAnsi="Times New Roman"/>
          <w:sz w:val="20"/>
        </w:rPr>
      </w:pPr>
      <w:r>
        <w:rPr>
          <w:rFonts w:ascii="Times New Roman" w:hAnsi="Times New Roman"/>
          <w:sz w:val="20"/>
        </w:rPr>
        <w:t xml:space="preserve">PARTICULAR COVENANTS OF THE COMPANY </w:t>
      </w:r>
    </w:p>
    <w:p>
      <w:pPr>
        <w:pStyle w:val="TextBody"/>
        <w:bidi w:val="0"/>
        <w:spacing w:before="240" w:after="0"/>
        <w:jc w:val="left"/>
        <w:rPr>
          <w:rFonts w:ascii="Times New Roman" w:hAnsi="Times New Roman"/>
          <w:sz w:val="20"/>
        </w:rPr>
      </w:pPr>
      <w:r>
        <w:rPr>
          <w:rFonts w:ascii="Times New Roman" w:hAnsi="Times New Roman"/>
          <w:sz w:val="20"/>
        </w:rPr>
        <w:t>Section 4.01</w:t>
      </w:r>
      <w:r>
        <w:rPr>
          <w:rFonts w:ascii="Times New Roman" w:hAnsi="Times New Roman"/>
          <w:i/>
          <w:sz w:val="20"/>
        </w:rPr>
        <w:t>. Payment of Principal and Special Interest.</w:t>
      </w:r>
      <w:r>
        <w:rPr>
          <w:rFonts w:ascii="Times New Roman" w:hAnsi="Times New Roman"/>
          <w:sz w:val="20"/>
        </w:rPr>
        <w:t xml:space="preserve"> The Company covenants and agrees that it will cause to be paid the principal (including the Redemption Price, the Optional Repurchase Price and the Fundamental Change Repurchase Price, if applicable) of, and accrued and unpaid Special Interest, if any, on, each of the Notes at the places, at the respective times and in the manner provided herein and in the Notes. </w:t>
      </w:r>
    </w:p>
    <w:p>
      <w:pPr>
        <w:pStyle w:val="TextBody"/>
        <w:bidi w:val="0"/>
        <w:spacing w:before="240" w:after="0"/>
        <w:jc w:val="left"/>
        <w:rPr>
          <w:rFonts w:ascii="Times New Roman" w:hAnsi="Times New Roman"/>
          <w:sz w:val="20"/>
        </w:rPr>
      </w:pPr>
      <w:r>
        <w:rPr>
          <w:rFonts w:ascii="Times New Roman" w:hAnsi="Times New Roman"/>
          <w:sz w:val="20"/>
        </w:rPr>
        <w:t>Section 4.02</w:t>
      </w:r>
      <w:r>
        <w:rPr>
          <w:rFonts w:ascii="Times New Roman" w:hAnsi="Times New Roman"/>
          <w:i/>
          <w:sz w:val="20"/>
        </w:rPr>
        <w:t>. Maintenance of Office or Agency.</w:t>
      </w:r>
      <w:r>
        <w:rPr>
          <w:rFonts w:ascii="Times New Roman" w:hAnsi="Times New Roman"/>
          <w:sz w:val="20"/>
        </w:rPr>
        <w:t xml:space="preserve"> The Company will maintain in the contiguous United States of America an office or agency where the Notes may be surrendered for registration of transfer or for exchange or for presentation for payment or repurchase (“</w:t>
      </w:r>
      <w:r>
        <w:rPr>
          <w:rFonts w:ascii="Times New Roman" w:hAnsi="Times New Roman"/>
          <w:b/>
          <w:sz w:val="20"/>
        </w:rPr>
        <w:t>Paying Agent</w:t>
      </w:r>
      <w:r>
        <w:rPr>
          <w:rFonts w:ascii="Times New Roman" w:hAnsi="Times New Roman"/>
          <w:sz w:val="20"/>
        </w:rPr>
        <w:t>”) or for conversion (“</w:t>
      </w:r>
      <w:r>
        <w:rPr>
          <w:rFonts w:ascii="Times New Roman" w:hAnsi="Times New Roman"/>
          <w:b/>
          <w:sz w:val="20"/>
        </w:rPr>
        <w:t>Conversion Agent</w:t>
      </w:r>
      <w:r>
        <w:rPr>
          <w:rFonts w:ascii="Times New Roman" w:hAnsi="Times New Roman"/>
          <w:sz w:val="20"/>
        </w:rPr>
        <w:t xml:space="preserve">”) and where notices and demands to or upon the Company in respect of the Notes and this Indenture may be served.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contiguous United States of America. The Corporate Trust Office shall not be a place for service of legal process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Times New Roman" w:hAnsi="Times New Roman"/>
          <w:i/>
          <w:sz w:val="20"/>
        </w:rPr>
        <w:t>provided</w:t>
      </w:r>
      <w:r>
        <w:rPr>
          <w:rFonts w:ascii="Times New Roman" w:hAnsi="Times New Roman"/>
          <w:sz w:val="20"/>
        </w:rPr>
        <w:t xml:space="preserve"> that no such designation or rescission shall in any manner relieve the Company of its obligation to maintain an office or agency in the contiguous United States of America for such purposes. The Company will give prompt written notice to the Trustee of any such designation or rescission and of any change in the location of any such other office or agency. The terms “</w:t>
      </w:r>
      <w:r>
        <w:rPr>
          <w:rFonts w:ascii="Times New Roman" w:hAnsi="Times New Roman"/>
          <w:b/>
          <w:sz w:val="20"/>
        </w:rPr>
        <w:t>Paying Agent</w:t>
      </w:r>
      <w:r>
        <w:rPr>
          <w:rFonts w:ascii="Times New Roman" w:hAnsi="Times New Roman"/>
          <w:sz w:val="20"/>
        </w:rPr>
        <w:t>” and “</w:t>
      </w:r>
      <w:r>
        <w:rPr>
          <w:rFonts w:ascii="Times New Roman" w:hAnsi="Times New Roman"/>
          <w:b/>
          <w:sz w:val="20"/>
        </w:rPr>
        <w:t>Conversion Agent</w:t>
      </w:r>
      <w:r>
        <w:rPr>
          <w:rFonts w:ascii="Times New Roman" w:hAnsi="Times New Roman"/>
          <w:sz w:val="20"/>
        </w:rPr>
        <w:t xml:space="preserve">” include any such additional or other offices or agencies,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initially designates the Trustee as the Paying Agent, Note Registrar, Custodian and Conversion Agent and the Corporate Trust Office as the office or agency in the contiguous United States of America where Notes may be surrendered for registration of transfer or exchange or for presentation for payment or repurchase or for conversion and where notices and demands to or upon the Company in respect of the Notes and this Indenture may be served; </w:t>
      </w:r>
      <w:r>
        <w:rPr>
          <w:rFonts w:ascii="Times New Roman" w:hAnsi="Times New Roman"/>
          <w:i/>
          <w:sz w:val="20"/>
        </w:rPr>
        <w:t>provided</w:t>
      </w:r>
      <w:r>
        <w:rPr>
          <w:rFonts w:ascii="Times New Roman" w:hAnsi="Times New Roman"/>
          <w:sz w:val="20"/>
        </w:rPr>
        <w:t xml:space="preserve"> that no office of the Trustee shall be a place for service of legal process on the Company. However, the Company may change the Note Registrar, Paying Agent and Conversion Agent, and the Company or any of its Subsidiaries may choose to act as the Note Registrar and/or Paying Agent, without prior notice to the Holders; </w:t>
      </w:r>
      <w:r>
        <w:rPr>
          <w:rFonts w:ascii="Times New Roman" w:hAnsi="Times New Roman"/>
          <w:i/>
          <w:sz w:val="20"/>
        </w:rPr>
        <w:t>provided</w:t>
      </w:r>
      <w:r>
        <w:rPr>
          <w:rFonts w:ascii="Times New Roman" w:hAnsi="Times New Roman"/>
          <w:sz w:val="20"/>
        </w:rPr>
        <w:t xml:space="preserve"> the office or agency, as applicable, of any such Note Registrar, Paying Agent and Conversion Agent must be in the contiguous United States of America. </w:t>
      </w:r>
    </w:p>
    <w:p>
      <w:pPr>
        <w:pStyle w:val="TextBody"/>
        <w:bidi w:val="0"/>
        <w:spacing w:before="240" w:after="0"/>
        <w:jc w:val="left"/>
        <w:rPr>
          <w:rFonts w:ascii="Times New Roman" w:hAnsi="Times New Roman"/>
          <w:sz w:val="20"/>
        </w:rPr>
      </w:pPr>
      <w:r>
        <w:rPr>
          <w:rFonts w:ascii="Times New Roman" w:hAnsi="Times New Roman"/>
          <w:sz w:val="20"/>
        </w:rPr>
        <w:t>Section 4.03</w:t>
      </w:r>
      <w:r>
        <w:rPr>
          <w:rFonts w:ascii="Times New Roman" w:hAnsi="Times New Roman"/>
          <w:i/>
          <w:sz w:val="20"/>
        </w:rPr>
        <w:t>. Appointments to Fill Vacancies in Trustee</w:t>
      </w:r>
      <w:r>
        <w:rPr>
          <w:rFonts w:ascii="Times New Roman" w:hAnsi="Times New Roman"/>
          <w:sz w:val="20"/>
        </w:rPr>
        <w:t>’</w:t>
      </w:r>
      <w:r>
        <w:rPr>
          <w:rFonts w:ascii="Times New Roman" w:hAnsi="Times New Roman"/>
          <w:i/>
          <w:sz w:val="20"/>
        </w:rPr>
        <w:t>s Office.</w:t>
      </w:r>
      <w:r>
        <w:rPr>
          <w:rFonts w:ascii="Times New Roman" w:hAnsi="Times New Roman"/>
          <w:sz w:val="20"/>
        </w:rPr>
        <w:t xml:space="preserve"> The Company, whenever necessary to avoid or fill a vacancy in the office of the Trustee, will appoint, in the manner provided in Section 7.09, a Trustee, so that there shall at all times be a Trustee hereunder. </w:t>
      </w:r>
    </w:p>
    <w:p>
      <w:pPr>
        <w:pStyle w:val="TextBody"/>
        <w:bidi w:val="0"/>
        <w:spacing w:before="240" w:after="0"/>
        <w:jc w:val="left"/>
        <w:rPr>
          <w:rFonts w:ascii="Times New Roman" w:hAnsi="Times New Roman"/>
          <w:sz w:val="20"/>
        </w:rPr>
      </w:pPr>
      <w:r>
        <w:rPr>
          <w:rFonts w:ascii="Times New Roman" w:hAnsi="Times New Roman"/>
          <w:sz w:val="20"/>
        </w:rPr>
        <w:t>Section 4.04</w:t>
      </w:r>
      <w:r>
        <w:rPr>
          <w:rFonts w:ascii="Times New Roman" w:hAnsi="Times New Roman"/>
          <w:i/>
          <w:sz w:val="20"/>
        </w:rPr>
        <w:t>. Provisions as to Paying Agent.</w:t>
      </w:r>
      <w:r>
        <w:rPr>
          <w:rFonts w:ascii="Times New Roman" w:hAnsi="Times New Roman"/>
          <w:sz w:val="20"/>
        </w:rPr>
        <w:t xml:space="preserve"> (a) If the Company shall appoint a Paying Agent other than the Trustee, the Company will cause such Paying Agent to execute and deliver to the Trustee an instrument in which such agent shall agree with the Trustee, subject to the provisions of this Section 4.04: </w:t>
      </w:r>
    </w:p>
    <w:p>
      <w:pPr>
        <w:pStyle w:val="TextBody"/>
        <w:bidi w:val="0"/>
        <w:spacing w:before="120" w:after="0"/>
        <w:jc w:val="left"/>
        <w:rPr>
          <w:rFonts w:ascii="Times New Roman" w:hAnsi="Times New Roman"/>
          <w:sz w:val="20"/>
        </w:rPr>
      </w:pPr>
      <w:r>
        <w:rPr>
          <w:rFonts w:ascii="Times New Roman" w:hAnsi="Times New Roman"/>
          <w:sz w:val="20"/>
        </w:rPr>
        <w:t xml:space="preserve">(i) that it will hold all sums held by it as such agent for the payment of the principal (including the Redemption Price, the Optional Repurchase Price and the Fundamental Change Repurchase Price, if applicable) of, and accrued and unpaid Special Interest, if any, on, the Notes in trust for the benefit of the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(ii) that it will give the Trustee prompt written notice of any failure by the Company to make any payment of the principal (including the Redemption Price, the Optional Repurchase Price and the Fundamental Change Repurchase Price, if applicable) of, and accrued and unpaid Special Interest, if any, on, the Notes when the same shall be due and payable;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that at any time during the continuance of an Event of Default, upon request of the Trustee, it will forthwith pay to the Trustee all sums so held in trust.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on or before each due date of the principal (including the Redemption Price, the Optional Repurchase Price and the Fundamental Change Repurchase Price, if applicable) of, or accrued and unpaid Special Interest, if any, on, the Notes, deposit with the Paying Agent a sum sufficient to pay such principal (including the Redemption Price, the Optional Repurchase Price and the Fundamental Change Repurchase Price, if applicable) or accrued and unpaid Special Interest, if any, and (unless such Paying Agent is the Trustee) the Company will promptly notify the Trustee in writing of any failure to take such action; </w:t>
      </w:r>
      <w:r>
        <w:rPr>
          <w:rFonts w:ascii="Times New Roman" w:hAnsi="Times New Roman"/>
          <w:i/>
          <w:sz w:val="20"/>
        </w:rPr>
        <w:t>provided</w:t>
      </w:r>
      <w:r>
        <w:rPr>
          <w:rFonts w:ascii="Times New Roman" w:hAnsi="Times New Roman"/>
          <w:sz w:val="20"/>
        </w:rPr>
        <w:t xml:space="preserve"> that if such deposit is made on the due date, such deposit must be received by the Paying Agent by 11:00 a.m., New York City time, on such date.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shall act as its own Paying Agent, it will, on or before each due date of the principal (including the Redemption Price, the Optional Repurchase Price and the Fundamental Change Repurchase Price, if applicable) of, and accrued and unpaid Special Interest, if any, on, the Notes, set aside, segregate and hold in trust for the benefit of the Holders of the Notes a sum sufficient to pay such principal (including the Redemption Price, the Optional Repurchase Price and the Fundamental Change Repurchase Price, if applicable) and accrued and unpaid Special Interest, if any, so becoming due and will promptly notify the Trustee in writing of any failure to take such action and of any failure by the Company to make any payment of the principal (including the Redemption Price, the Optional Repurchase Price and the Fundamental Change Repurchase Price, if applicable) of, or accrued and unpaid Special Interest, if any, on, the Notes when the same shall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(c) 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 </w:t>
      </w:r>
    </w:p>
    <w:p>
      <w:pPr>
        <w:pStyle w:val="TextBody"/>
        <w:bidi w:val="0"/>
        <w:spacing w:before="240" w:after="0"/>
        <w:jc w:val="left"/>
        <w:rPr>
          <w:rFonts w:ascii="Times New Roman" w:hAnsi="Times New Roman"/>
          <w:sz w:val="20"/>
        </w:rPr>
      </w:pPr>
      <w:r>
        <w:rPr>
          <w:rFonts w:ascii="Times New Roman" w:hAnsi="Times New Roman"/>
          <w:sz w:val="20"/>
        </w:rPr>
        <w:t xml:space="preserve">(d) Subject to applicable escheatment laws, any money and ADSs deposited with the Trustee or any Paying Agent, or then held by the Company, in trust for the payment of the principal (including the Redemption Price, the Optional Repurchase Price and the Fundamental Change Repurchase Price, if applicable) of, accrued and unpaid Special Interest, if any, on and the consideration due upon conversion of any Note and remaining unclaimed for two years after such principal (including the Redemption Price, the Optional Repurchase Price and the Fundamental Change Repurchase Price, if applicable), Special Interest, if any, or consideration due upon conversion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 all liability of the Trustee or such Paying Agent with respect to such trust money and ADSs, and all liability of the Company as trustee thereof, shall thereupon cease.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Upon any Event of Default pursuant to Section 6.01(h) or Section 6.01(i), the Trustee shall automatically be Paying Agent. </w:t>
      </w:r>
    </w:p>
    <w:p>
      <w:pPr>
        <w:pStyle w:val="TextBody"/>
        <w:bidi w:val="0"/>
        <w:spacing w:before="240" w:after="0"/>
        <w:jc w:val="left"/>
        <w:rPr>
          <w:rFonts w:ascii="Times New Roman" w:hAnsi="Times New Roman"/>
          <w:sz w:val="20"/>
        </w:rPr>
      </w:pPr>
      <w:r>
        <w:rPr>
          <w:rFonts w:ascii="Times New Roman" w:hAnsi="Times New Roman"/>
          <w:sz w:val="20"/>
        </w:rPr>
        <w:t>Section 4.05</w:t>
      </w:r>
      <w:r>
        <w:rPr>
          <w:rFonts w:ascii="Times New Roman" w:hAnsi="Times New Roman"/>
          <w:i/>
          <w:sz w:val="20"/>
        </w:rPr>
        <w:t>. Existence.</w:t>
      </w:r>
      <w:r>
        <w:rPr>
          <w:rFonts w:ascii="Times New Roman" w:hAnsi="Times New Roman"/>
          <w:sz w:val="20"/>
        </w:rPr>
        <w:t xml:space="preserve"> Subject to Article 11, the Company shall do or cause to be done all things necessary to preserve and keep in full force and effect its corporate existence. </w:t>
      </w:r>
    </w:p>
    <w:p>
      <w:pPr>
        <w:pStyle w:val="TextBody"/>
        <w:bidi w:val="0"/>
        <w:spacing w:before="240" w:after="0"/>
        <w:jc w:val="left"/>
        <w:rPr>
          <w:rFonts w:ascii="Times New Roman" w:hAnsi="Times New Roman"/>
          <w:sz w:val="20"/>
        </w:rPr>
      </w:pPr>
      <w:r>
        <w:rPr>
          <w:rFonts w:ascii="Times New Roman" w:hAnsi="Times New Roman"/>
          <w:sz w:val="20"/>
        </w:rPr>
        <w:t>Section 4.06</w:t>
      </w:r>
      <w:r>
        <w:rPr>
          <w:rFonts w:ascii="Times New Roman" w:hAnsi="Times New Roman"/>
          <w:i/>
          <w:sz w:val="20"/>
        </w:rPr>
        <w:t>. Rule 144A Information Requirement and Annual Reports.</w:t>
      </w:r>
      <w:r>
        <w:rPr>
          <w:rFonts w:ascii="Times New Roman" w:hAnsi="Times New Roman"/>
          <w:sz w:val="20"/>
        </w:rPr>
        <w:t xml:space="preserve"> (a) At any time the Company is not subject to Section 13 or 15(d) of the Exchange Act, the Company shall, so long as any of the Notes or any ADSs (including the Ordinary Shares represented thereby) issuable upon conversion thereof shall, at such time, constitute “restricted securities” within the meaning of Rule 144(a)(3) under the Securities Act, promptly provide to the Trustee and shall, upon written request, provide to any Holder, beneficial owner or prospective purchaser of such Notes or any ADSs (including the Ordinary Shares represented thereby) issuable upon conversion of such Notes, the information required to be delivered pursuant to Rule 144A(d)(4) under the Securities Act to facilitate the resale of such Notes or ADSs (including the Ordinary Shares represented thereby) pursuant to Rule 144A. The Company shall take such further action as any Holder or beneficial owner of such Notes or such ADSs (including the Ordinary Shares represented thereby) may reasonably request to the extent from time to time required to enable such Holder or beneficial owner to sell such Notes or ADSs (including the Ordinary Shares represented thereby) in accordance with Rule 144A, as such rule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file with the Trustee, within 15 days after the same are required to be filed with the Commission, copies of any documents or reports that the Company is required to file with the Commission pursuant to Section 13 or 15(d) of the Exchange Act (excluding any such information, documents or reports, or portions thereof, subject to, or with respect to which, the Company is actively requesting (assuming such request has not been denied) confidential treatment and any correspondence with the Commission, and after giving effect to any grace period provided by Rule 12b-25 or any successor rule under the Exchange Act, which grace period, for the avoidance of doubt, shall be deemed applicable whether or not the Company checks the box in the relevant Rule 12b-25 filing indicating that the Company expects to file such report within the applicable Rule 12b-25 grace period). Any such document or report that the Company files with the Commission via the Commission’s EDGAR system (or any successor thereto) shall be deemed to be filed with the Trustee for purposes of this Section 4.06(b) at the time such documents are filed via the EDGAR system (or any successor thereto) it being understood that the Trustee shall not be responsible for determining whether such filings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(c) Delivery of reports, information and documents to the Trustee pursuant to Section 4.06(b) is for informational purposes only and the information and the Trustee’s receipt of the foregoing shall not constitute actual or constructive notice of any information contained therein, or determinable from information contained therein, including the Company’s compliance with any of the Company’s covenants hereunder (as to which the Trustee is entitled to rely exclusively on an Officers’ Certificate). The Trustee shall have no duty to monitor or confirm,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a continuing basis or otherwise, the Company’s or any other Person’s compliance with any of the covenants hereunder to determine whether any such reports, information or documents are available on the Commission’s website, the Company’s website or otherwise, to examine such reports, information, documents and other reports to ensure compliance with the provisions herein, to ascertain the correctness or otherwise of the information or the statements contained therein or to participate in any conference calls. Notwithstanding anything to the contrary herein, the Trustee shall have no duty to search for or obtain any electronic or other filings that the Company makes with the Commission, regardless of whether such filings are periodic, supplemental or otherwise. The Trustee shall have no liability or responsibility for the filing, timeliness, or content of such documents or reports. </w:t>
      </w:r>
    </w:p>
    <w:p>
      <w:pPr>
        <w:pStyle w:val="TextBody"/>
        <w:bidi w:val="0"/>
        <w:spacing w:before="240" w:after="0"/>
        <w:jc w:val="left"/>
        <w:rPr>
          <w:rFonts w:ascii="Times New Roman" w:hAnsi="Times New Roman"/>
          <w:sz w:val="20"/>
        </w:rPr>
      </w:pPr>
      <w:r>
        <w:rPr>
          <w:rFonts w:ascii="Times New Roman" w:hAnsi="Times New Roman"/>
          <w:sz w:val="20"/>
        </w:rPr>
        <w:t xml:space="preserve">(d) If, at any time during the six-month period beginning on, and including, the date that is six months after the last date of original issuance of the Notes (which last date of original issuance will be deemed, if the Initial Purchasers exercise their option to purchase additional Notes as set forth in the Purchase Agreement, to be the last date of settlement of such exercise), the Company fails to timely file any document or report that it is required to file with the Commission pursuant to Section 13 or 15(d) of the Exchange Act, as applicable (other than reports on Form 6-K and after giving effect to all applicable grace periods thereunder, including any grace period provided by Rule 12b-25 (or any successor rule), which grace period, for the avoidance of doubt, shall be deemed applicable whether or not the Company checks the box in the relevant Rule 12b-25 filing indicating that the Company expects to file such report within the applicable Rule 12b-25 grace period), or the Notes are not otherwise freely tradable pursuant to Rule 144 by Holders other than the Company’s Affiliates or Holders that were the Company’s Affiliates at any time during the three months immediately preceding (as a result of restrictions pursuant to U.S. securities laws or the terms of this Indenture or the Notes), the Company shall pay Special Interest on the Notes. Such Special Interest shall accrue on the Notes (i) for the first 90 days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at a rate of 0.25% per annum of the principal amount of the Notes outstanding and (ii) for each day thereafter during such period for which the Company’s failure to file has occurred and is continuing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at a rate of 0.50% per annum of the principal amount of the Notes outstanding. As used in this Section 4.06(d), documents or reports that the Company is required to “file” with the Commission pursuant to Section 13 or 15(d) of the Exchange Act does not include documents or reports that the Company furnishes to the Commission pursuant to Section 13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(e) If, and for so long as, the restrictive legend on the Notes specified in Section 2.05(c) has not been removed, the Notes are assigned a restricted CUSIP number or the Notes are not otherwise freely tradable pursuant to Rule 144 by Holders other than the Company’s Affiliates or Holders that were the Company’s Affiliates at any time during the three months immediately preceding (without restrictions pursuant to U.S. securities laws or the terms of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Indenture or the Notes) as of the 380th day after the last date of original issuance of the Notes, the Company shall pay Special Interest on the Notes (i) for the first 90 days during such period for which the restrictive legend on the Notes has not been removed in accordance with Section 2.05(c), the Notes are not assigned an unrestricted CUSIP number or the Notes are not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at a rate of 0.25% per annum of the principal amount of the Notes outstanding and (ii) for each day thereafter during such period for which the restrictive legend on the Notes has not been removed in accordance with Section 2.05(c), the Notes are not assigned an unrestricted CUSIP number or the Notes are not freely tradable pursuant to Rule 144 by Holders other than the Company’s Affiliates (or Holders that were the Company’s Affiliates at any time during the three months immediately preceding) without restrictions pursuant to U.S. securities laws or the terms of this Indenture or the Notes, at a rate of 0.50% per annum of the principal amount of the Notes outstanding. </w:t>
      </w:r>
    </w:p>
    <w:p>
      <w:pPr>
        <w:pStyle w:val="TextBody"/>
        <w:bidi w:val="0"/>
        <w:spacing w:before="240" w:after="0"/>
        <w:jc w:val="left"/>
        <w:rPr>
          <w:rFonts w:ascii="Times New Roman" w:hAnsi="Times New Roman"/>
          <w:sz w:val="20"/>
        </w:rPr>
      </w:pPr>
      <w:r>
        <w:rPr>
          <w:rFonts w:ascii="Times New Roman" w:hAnsi="Times New Roman"/>
          <w:sz w:val="20"/>
        </w:rPr>
        <w:t xml:space="preserve">(f) Special Interest will be payable in arrears on each Special Interest Payment Date following accrual as set forth in Section 2.03; </w:t>
      </w:r>
      <w:r>
        <w:rPr>
          <w:rFonts w:ascii="Times New Roman" w:hAnsi="Times New Roman"/>
          <w:i/>
          <w:sz w:val="20"/>
        </w:rPr>
        <w:t>provided</w:t>
      </w:r>
      <w:r>
        <w:rPr>
          <w:rFonts w:ascii="Times New Roman" w:hAnsi="Times New Roman"/>
          <w:sz w:val="20"/>
        </w:rPr>
        <w:t xml:space="preserve"> that if any Special Interest begins to accrue pursuant to Section 4.06(d) or Section 4.06(e) after the close of business on a Special Interest Record Date and prior to the open of business on the corresponding Special Interest Payment Date, the Special Interest that accrues during such period will be due on the Special Interest Payment Date next succeeding such corresponding Special Interest Payment Date, and no interest shall accrue in respect of such delay. </w:t>
      </w:r>
    </w:p>
    <w:p>
      <w:pPr>
        <w:pStyle w:val="TextBody"/>
        <w:bidi w:val="0"/>
        <w:spacing w:before="240" w:after="0"/>
        <w:jc w:val="left"/>
        <w:rPr>
          <w:rFonts w:ascii="Times New Roman" w:hAnsi="Times New Roman"/>
          <w:sz w:val="20"/>
        </w:rPr>
      </w:pPr>
      <w:r>
        <w:rPr>
          <w:rFonts w:ascii="Times New Roman" w:hAnsi="Times New Roman"/>
          <w:sz w:val="20"/>
        </w:rPr>
        <w:t xml:space="preserve">(g) The Special Interest that is payable in accordance with Section 4.06(d) or Section 4.06(e) shall be in addition to, and not in lieu of, any Special Interest that may be payable as a result of the Company’s election pursuant to Section 6.03; </w:t>
      </w:r>
      <w:r>
        <w:rPr>
          <w:rFonts w:ascii="Times New Roman" w:hAnsi="Times New Roman"/>
          <w:i/>
          <w:sz w:val="20"/>
        </w:rPr>
        <w:t>provided</w:t>
      </w:r>
      <w:r>
        <w:rPr>
          <w:rFonts w:ascii="Times New Roman" w:hAnsi="Times New Roman"/>
          <w:sz w:val="20"/>
        </w:rPr>
        <w:t xml:space="preserve"> that in no event shall any Special Interest that may accrue pursuant to Section 4.06(d) as a result of the Company’s failure to timely file any document or report that the Company is required to file with the Commission pursuant to Section 13 or 15(d) of the Exchange Act, as applicable (after giving effect to all applicable grace periods thereunder and other than reports on Form 6-K), together with any Special Interest payable at the Company’s election pursuant to Section 6.03 as a remedy for a Reporting Event of Default, accrue at a rate in excess of 0.50% per annum pursuant to this Indenture, regardless of the number of events or circumstances giving rise to the requirement to pay such Special Interest. The accrual of Special Interest payable in accordance with Section 4.06(d) or Section 4.06(e) will be the exclusive remedy available to Holders for any failure of their Notes to become freely tradable pursuant to Rule 144 (including, without limitation, as a result of the failure to (i) file any document or report that is required to be filed with the Commission pursuant to Section 13 or 15(d) of the Exchange Act in accordance with Section 4.06(d), (ii) remove the restrictive legend on the Notes in accordance with Section 2.05(c), and/or (iii) cause an unrestricted CUSIP number to be assigned to the Notes in accordance with Section 4.06(e), as the case may be) and, for the avoidance of doubt, such failure of the Notes to become freely tradeable shall not constitute or give rise to a Default or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If Special Interest is payable by the Company pursuant to Section 4.06(d) or Section 4.06(e), the Company shall deliver to the Trustee an Officers’ Certificate to that effect stating (i) the amount of such Special Interest that is payable and (ii) the date on which such Special Interest is payable. Unless and until a Responsible Officer of the Trustee receives at the Corporate Trust Office such a certificate, the Trustee may assume without inquiry that no such Special Interest is payable. If the Company has paid Special Interest directly to the Persons entitled to it, the Company shall deliver to the Trustee an Officers’ Certificate setting forth the particulars of such payment. </w:t>
      </w:r>
    </w:p>
    <w:p>
      <w:pPr>
        <w:pStyle w:val="TextBody"/>
        <w:bidi w:val="0"/>
        <w:spacing w:before="240" w:after="0"/>
        <w:jc w:val="left"/>
        <w:rPr>
          <w:rFonts w:ascii="Times New Roman" w:hAnsi="Times New Roman"/>
          <w:sz w:val="20"/>
        </w:rPr>
      </w:pPr>
      <w:r>
        <w:rPr>
          <w:rFonts w:ascii="Times New Roman" w:hAnsi="Times New Roman"/>
          <w:sz w:val="20"/>
        </w:rPr>
        <w:t>Section 4.07</w:t>
      </w:r>
      <w:r>
        <w:rPr>
          <w:rFonts w:ascii="Times New Roman" w:hAnsi="Times New Roman"/>
          <w:i/>
          <w:sz w:val="20"/>
        </w:rPr>
        <w:t>. Stay, Extension and Usury Laws.</w:t>
      </w:r>
      <w:r>
        <w:rPr>
          <w:rFonts w:ascii="Times New Roman" w:hAnsi="Times New Roman"/>
          <w:sz w:val="20"/>
        </w:rPr>
        <w:t xml:space="preserve">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if any,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 </w:t>
      </w:r>
    </w:p>
    <w:p>
      <w:pPr>
        <w:pStyle w:val="TextBody"/>
        <w:bidi w:val="0"/>
        <w:spacing w:before="240" w:after="0"/>
        <w:jc w:val="left"/>
        <w:rPr>
          <w:rFonts w:ascii="Times New Roman" w:hAnsi="Times New Roman"/>
          <w:sz w:val="20"/>
        </w:rPr>
      </w:pPr>
      <w:r>
        <w:rPr>
          <w:rFonts w:ascii="Times New Roman" w:hAnsi="Times New Roman"/>
          <w:sz w:val="20"/>
        </w:rPr>
        <w:t>Section 4.08</w:t>
      </w:r>
      <w:r>
        <w:rPr>
          <w:rFonts w:ascii="Times New Roman" w:hAnsi="Times New Roman"/>
          <w:i/>
          <w:sz w:val="20"/>
        </w:rPr>
        <w:t>. Compliance Certificate; Statements as to Defaults.</w:t>
      </w:r>
      <w:r>
        <w:rPr>
          <w:rFonts w:ascii="Times New Roman" w:hAnsi="Times New Roman"/>
          <w:sz w:val="20"/>
        </w:rPr>
        <w:t xml:space="preserve"> The Company shall deliver to the Trustee at its Corporate Trust Office within 120 days after the end of each fiscal year of the Company (beginning with the fiscal year ending on December 31, 2026) an Officers’ Certificate stating whether the signers thereof have knowledge of any Default or Event of Default that occurred during the previous fiscal year and, if so, specifying each such Default or Event of Default, as the case may be, and the nature thereof.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Company shall deliver to the Trustee at its Corporate Trust Office, as soon as possible, and in any event within 30 days after the Company obtains knowledge of the occurrence of any Event of Default or Default, an Officers’ Certificate setting forth the details of such Event of Default or Default, its status and the action that the Company is taking or proposing to take in respect thereof; </w:t>
      </w:r>
      <w:r>
        <w:rPr>
          <w:rFonts w:ascii="Times New Roman" w:hAnsi="Times New Roman"/>
          <w:i/>
          <w:sz w:val="20"/>
        </w:rPr>
        <w:t>provided</w:t>
      </w:r>
      <w:r>
        <w:rPr>
          <w:rFonts w:ascii="Times New Roman" w:hAnsi="Times New Roman"/>
          <w:sz w:val="20"/>
        </w:rPr>
        <w:t xml:space="preserve">, however, that the Company will not be required to deliver such Officers’ Certificate at any time after such Default or Event of Default is cured. </w:t>
      </w:r>
    </w:p>
    <w:p>
      <w:pPr>
        <w:pStyle w:val="TextBody"/>
        <w:bidi w:val="0"/>
        <w:spacing w:before="240" w:after="0"/>
        <w:jc w:val="left"/>
        <w:rPr>
          <w:rFonts w:ascii="Times New Roman" w:hAnsi="Times New Roman"/>
          <w:sz w:val="20"/>
        </w:rPr>
      </w:pPr>
      <w:r>
        <w:rPr>
          <w:rFonts w:ascii="Times New Roman" w:hAnsi="Times New Roman"/>
          <w:sz w:val="20"/>
        </w:rPr>
        <w:t>Section 4.09</w:t>
      </w:r>
      <w:r>
        <w:rPr>
          <w:rFonts w:ascii="Times New Roman" w:hAnsi="Times New Roman"/>
          <w:i/>
          <w:sz w:val="20"/>
        </w:rPr>
        <w:t>. Further Instruments and Acts.</w:t>
      </w:r>
      <w:r>
        <w:rPr>
          <w:rFonts w:ascii="Times New Roman" w:hAnsi="Times New Roman"/>
          <w:sz w:val="20"/>
        </w:rPr>
        <w:t xml:space="preserve"> Upon request of the Trustee, the Company will execute and deliver such further instruments and do such further acts as may be reasonably necessary or proper to carry out more effectively the purposes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i/>
          <w:sz w:val="20"/>
        </w:rPr>
        <w:t>Additional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payments and deliveries made by or on behalf of the Company or any successor to the Company under or with respect to the Notes, including, but not limited to, payments of principal (including the Fundamental Change Repurchase Price, the Optional Repurchase Price and Redemption Price, if applicable), premium, if any, payments of Special Interest, if any, and payments of cash and, if applicable, deliveries of ADSs (together with payments of cash for any fractional ADSs) upon conversion, will be made without withholding or deduction for, or on account of, any present or future taxes, duties, assessments or governmental charges of whatever nature imposed or levied (including any penalties and interest related thereto) (“</w:t>
      </w:r>
      <w:r>
        <w:rPr>
          <w:rFonts w:ascii="Times New Roman" w:hAnsi="Times New Roman"/>
          <w:b/>
          <w:sz w:val="20"/>
        </w:rPr>
        <w:t>Applicable Taxes</w:t>
      </w:r>
      <w:r>
        <w:rPr>
          <w:rFonts w:ascii="Times New Roman" w:hAnsi="Times New Roman"/>
          <w:sz w:val="20"/>
        </w:rPr>
        <w:t xml:space="preserve">”) by or within (1) Taiwan or the Cayman Islands (or any political subdivision or taxing authority thereof or therein), (2) any jurisdiction in which the Company or any of the Company’s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successors is, for tax purposes, incorporated, organized or resident, or as a result of activities carried on by the Company or such successor, has otherwise created a taxable presence (or any political subdivision or taxing authority thereof or therein) or (3) any jurisdiction through which payment is made or deemed made (or any political subdivision or taxing authority thereof or therein) (each jurisdiction described in (1), (2) or (3), as applicable, a “</w:t>
      </w:r>
      <w:r>
        <w:rPr>
          <w:rFonts w:ascii="Times New Roman" w:hAnsi="Times New Roman"/>
          <w:b/>
          <w:sz w:val="20"/>
        </w:rPr>
        <w:t>Relevant Taxing Jurisdiction</w:t>
      </w:r>
      <w:r>
        <w:rPr>
          <w:rFonts w:ascii="Times New Roman" w:hAnsi="Times New Roman"/>
          <w:sz w:val="20"/>
        </w:rPr>
        <w:t>”), unless such withholding or deduction is required by any applicable law of a Relevant Taxing Jurisdiction. In the event that any such withholding or deduction is required in a Relevant Taxing Jurisdiction with respect to any payments of principal (including the Fundamental Change Repurchase Price, the Optional Repurchase Price and Redemption Price, if applicable) or any Special Interest on the Notes (but excluding, for the avoidance of doubt, any payments or deliveries due upon conversion of the Notes, whether made in cash, ADSs or Reference Property), the Company or any successor to the Company shall pay to the Holder of each Note such additional amounts (the “</w:t>
      </w:r>
      <w:r>
        <w:rPr>
          <w:rFonts w:ascii="Times New Roman" w:hAnsi="Times New Roman"/>
          <w:b/>
          <w:sz w:val="20"/>
        </w:rPr>
        <w:t>Additional Amounts</w:t>
      </w:r>
      <w:r>
        <w:rPr>
          <w:rFonts w:ascii="Times New Roman" w:hAnsi="Times New Roman"/>
          <w:sz w:val="20"/>
        </w:rPr>
        <w:t xml:space="preserve">”) as may be necessary to ensure that the net amount received by the beneficial owner after such withholding or deduction (and after deducting any Applicable Taxes on the Additional Amounts) under a Relevant Taxing Jurisdiction will equal the amount that would have been received by such beneficial owner had no such withholding or deduction been required; </w:t>
      </w:r>
      <w:r>
        <w:rPr>
          <w:rFonts w:ascii="Times New Roman" w:hAnsi="Times New Roman"/>
          <w:i/>
          <w:sz w:val="20"/>
        </w:rPr>
        <w:t>provided</w:t>
      </w:r>
      <w:r>
        <w:rPr>
          <w:rFonts w:ascii="Times New Roman" w:hAnsi="Times New Roman"/>
          <w:sz w:val="20"/>
        </w:rPr>
        <w:t xml:space="preserve"> that no Additional Amounts shall be payable: </w:t>
      </w:r>
    </w:p>
    <w:p>
      <w:pPr>
        <w:pStyle w:val="TextBody"/>
        <w:bidi w:val="0"/>
        <w:spacing w:before="120" w:after="0"/>
        <w:jc w:val="left"/>
        <w:rPr>
          <w:rFonts w:ascii="Times New Roman" w:hAnsi="Times New Roman"/>
          <w:sz w:val="20"/>
        </w:rPr>
      </w:pPr>
      <w:r>
        <w:rPr>
          <w:rFonts w:ascii="Times New Roman" w:hAnsi="Times New Roman"/>
          <w:sz w:val="20"/>
        </w:rPr>
        <w:t xml:space="preserve">(i) for or on account of: </w:t>
      </w:r>
    </w:p>
    <w:p>
      <w:pPr>
        <w:pStyle w:val="TextBody"/>
        <w:bidi w:val="0"/>
        <w:spacing w:before="120" w:after="0"/>
        <w:jc w:val="left"/>
        <w:rPr>
          <w:rFonts w:ascii="Times New Roman" w:hAnsi="Times New Roman"/>
          <w:sz w:val="20"/>
        </w:rPr>
      </w:pPr>
      <w:r>
        <w:rPr>
          <w:rFonts w:ascii="Times New Roman" w:hAnsi="Times New Roman"/>
          <w:sz w:val="20"/>
        </w:rPr>
        <w:t xml:space="preserve">(A) any Applicable Taxes that would not have been imposed but for: </w:t>
      </w:r>
    </w:p>
    <w:p>
      <w:pPr>
        <w:pStyle w:val="TextBody"/>
        <w:bidi w:val="0"/>
        <w:spacing w:before="120" w:after="0"/>
        <w:jc w:val="left"/>
        <w:rPr>
          <w:rFonts w:ascii="Times New Roman" w:hAnsi="Times New Roman"/>
          <w:sz w:val="20"/>
        </w:rPr>
      </w:pPr>
      <w:r>
        <w:rPr>
          <w:rFonts w:ascii="Times New Roman" w:hAnsi="Times New Roman"/>
          <w:sz w:val="20"/>
        </w:rPr>
        <w:t xml:space="preserve">(1) the existence of any present or former connection between the relevant Holder or beneficial owner of such Note and the Relevant Taxing Jurisdiction (other than merely acquiring, holding or disposing of such Note or the receipt of payments or the exercise or enforcement of rights under the Notes) including, without limitation, such Holder or beneficial owner being or having been a national, domiciliary or resident of, or incorporated in, such Relevant Taxing Jurisdiction or treated as a resident thereof or being or having been physically present or engaged in a trade or business therein or having or having had a permanent establishment therein; </w:t>
      </w:r>
    </w:p>
    <w:p>
      <w:pPr>
        <w:pStyle w:val="TextBody"/>
        <w:bidi w:val="0"/>
        <w:spacing w:before="120" w:after="0"/>
        <w:jc w:val="left"/>
        <w:rPr>
          <w:rFonts w:ascii="Times New Roman" w:hAnsi="Times New Roman"/>
          <w:sz w:val="20"/>
        </w:rPr>
      </w:pPr>
      <w:r>
        <w:rPr>
          <w:rFonts w:ascii="Times New Roman" w:hAnsi="Times New Roman"/>
          <w:sz w:val="20"/>
        </w:rPr>
        <w:t xml:space="preserve">(2) the presentation of such Note (in cases in which presentation is required) more than 30 days after the later of the date on which the payment of the principal of (including the Fundamental Change Repurchase Price, the Optional Repurchase Price and Redemption Price, if applicable) and any Special Interest on such Note became due and payable pursuant to the terms thereof or was made or duly provided for (except to the extent that the Holder or beneficial owner would have been entitled to Additional Amounts had the Note been presented on the last day of such 30-day period); or </w:t>
      </w:r>
    </w:p>
    <w:p>
      <w:pPr>
        <w:pStyle w:val="TextBody"/>
        <w:bidi w:val="0"/>
        <w:spacing w:before="120" w:after="0"/>
        <w:jc w:val="left"/>
        <w:rPr>
          <w:rFonts w:ascii="Times New Roman" w:hAnsi="Times New Roman"/>
          <w:sz w:val="20"/>
        </w:rPr>
      </w:pPr>
      <w:r>
        <w:rPr>
          <w:rFonts w:ascii="Times New Roman" w:hAnsi="Times New Roman"/>
          <w:sz w:val="20"/>
        </w:rPr>
        <w:t xml:space="preserve">(3) the failure of the Holder or beneficial owner to provide a declaration of non-residence or other similar claim for exemption or to present any applicable form or certificate, in each case, within a reasonable period of time following a reasonable written request from the Company or any of the Company’s successors at least 30 days before any such withholding or deduction would be imposed;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(A) the Holder or beneficial owner is legally entitled to provide such declaration, claim form or certificate and that upon the making of such declaration or claim or presentation of such form or certificate, the Holder or beneficial owner would have been able to avoid, eliminate or reduce such deduction or withholding and (B) such form or certificate requirements are not materially more onerous, in form, in procedure or in substance than comparable information or other reporting requirements imposed under U.S. tax law, regulation or administrative practice (such as IRS Forms W-8BEN, W-8BEN-E, W-8ECI, W-8EXP and/or W-9); </w:t>
      </w:r>
    </w:p>
    <w:p>
      <w:pPr>
        <w:pStyle w:val="TextBody"/>
        <w:bidi w:val="0"/>
        <w:spacing w:before="120" w:after="0"/>
        <w:jc w:val="left"/>
        <w:rPr>
          <w:rFonts w:ascii="Times New Roman" w:hAnsi="Times New Roman"/>
          <w:sz w:val="20"/>
        </w:rPr>
      </w:pPr>
      <w:r>
        <w:rPr>
          <w:rFonts w:ascii="Times New Roman" w:hAnsi="Times New Roman"/>
          <w:sz w:val="20"/>
        </w:rPr>
        <w:t xml:space="preserve">(B) any estate, inheritance, gift, sale, personal property or similar applicable taxes, assessments or other governmental charges; </w:t>
      </w:r>
    </w:p>
    <w:p>
      <w:pPr>
        <w:pStyle w:val="TextBody"/>
        <w:bidi w:val="0"/>
        <w:spacing w:before="120" w:after="0"/>
        <w:jc w:val="left"/>
        <w:rPr>
          <w:rFonts w:ascii="Times New Roman" w:hAnsi="Times New Roman"/>
          <w:sz w:val="20"/>
        </w:rPr>
      </w:pPr>
      <w:r>
        <w:rPr>
          <w:rFonts w:ascii="Times New Roman" w:hAnsi="Times New Roman"/>
          <w:sz w:val="20"/>
        </w:rPr>
        <w:t xml:space="preserve">(C) any Applicable Taxes, duties, assessments or other governmental charges that are payable otherwise than by withholding or deduction from payments under or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(D) any taxes payable by or on behalf of a Holder who would have been able to avoid such withholding or deduction by presenting the Notes to another Paying Agent designated by the Company pursuant to this Indenture; </w:t>
      </w:r>
    </w:p>
    <w:p>
      <w:pPr>
        <w:pStyle w:val="TextBody"/>
        <w:bidi w:val="0"/>
        <w:spacing w:before="120" w:after="0"/>
        <w:jc w:val="left"/>
        <w:rPr>
          <w:rFonts w:ascii="Times New Roman" w:hAnsi="Times New Roman"/>
          <w:sz w:val="20"/>
        </w:rPr>
      </w:pPr>
      <w:r>
        <w:rPr>
          <w:rFonts w:ascii="Times New Roman" w:hAnsi="Times New Roman"/>
          <w:sz w:val="20"/>
        </w:rPr>
        <w:t>(E) any Applicable Taxes imposed or withheld by reason of the failure of the Holder or beneficial owner of the Notes to comply with the requirements of Sections 1471 through 1474 of the Code (or any amended or successor version of such sections that is substantively comparable) (“</w:t>
      </w:r>
      <w:r>
        <w:rPr>
          <w:rFonts w:ascii="Times New Roman" w:hAnsi="Times New Roman"/>
          <w:b/>
          <w:sz w:val="20"/>
        </w:rPr>
        <w:t>FATCA</w:t>
      </w:r>
      <w:r>
        <w:rPr>
          <w:rFonts w:ascii="Times New Roman" w:hAnsi="Times New Roman"/>
          <w:sz w:val="20"/>
        </w:rPr>
        <w:t xml:space="preserve">”), the U.S. Treasury Regulations issued thereunder or any official interpretation thereof or any intergovernmental agreement or agreement entered into pursuant to Section 1471(b) of the Code or any law, regulation or other official guidance enacted in any jurisdiction implementing FATCA or an intergovernmental agreement; and </w:t>
      </w:r>
    </w:p>
    <w:p>
      <w:pPr>
        <w:pStyle w:val="TextBody"/>
        <w:bidi w:val="0"/>
        <w:spacing w:before="120" w:after="0"/>
        <w:jc w:val="left"/>
        <w:rPr>
          <w:rFonts w:ascii="Times New Roman" w:hAnsi="Times New Roman"/>
          <w:sz w:val="20"/>
        </w:rPr>
      </w:pPr>
      <w:r>
        <w:rPr>
          <w:rFonts w:ascii="Times New Roman" w:hAnsi="Times New Roman"/>
          <w:sz w:val="20"/>
        </w:rPr>
        <w:t xml:space="preserve">(F) any combination of Applicable Taxes referred to in the preceding clauses (A), (B), (C), (D) and (E), and </w:t>
      </w:r>
    </w:p>
    <w:p>
      <w:pPr>
        <w:pStyle w:val="TextBody"/>
        <w:bidi w:val="0"/>
        <w:spacing w:before="120" w:after="0"/>
        <w:jc w:val="left"/>
        <w:rPr>
          <w:rFonts w:ascii="Times New Roman" w:hAnsi="Times New Roman"/>
          <w:sz w:val="20"/>
        </w:rPr>
      </w:pPr>
      <w:r>
        <w:rPr>
          <w:rFonts w:ascii="Times New Roman" w:hAnsi="Times New Roman"/>
          <w:sz w:val="20"/>
        </w:rPr>
        <w:t xml:space="preserve">(ii) with respect to any payment of the principal of (including the Fundamental Change Repurchase Price, the Optional Repurchase Price and Redemption Price, if applicable), and Special Interest, if any, on, such Note to a Holder, if the Holder is a fiduciary, partnership or person other than the sole beneficial owner of that payment, to the extent that such payment would be required under the laws of the Relevant Taxing Jurisdiction to be included for tax purposes in the income of a beneficiary or settlor with respect to the fiduciary, a member of that partnership or a beneficial owner who would not have been entitled to such Additional Amounts had that beneficiary, settlor, partner or beneficial owner been the Holder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 addition to the foregoing, the Company shall also pay and indemnify the Holders for any present or future stamp, issue, registration, value added, court or documentary taxes, or any other excise or property taxes, charges or similar levies or taxes (including penalties, interest and any other reasonable expenses related thereto) which are levied by any Relevant Taxing Jurisdiction (“</w:t>
      </w:r>
      <w:r>
        <w:rPr>
          <w:rFonts w:ascii="Times New Roman" w:hAnsi="Times New Roman"/>
          <w:b/>
          <w:sz w:val="20"/>
        </w:rPr>
        <w:t>Transfer Taxes</w:t>
      </w:r>
      <w:r>
        <w:rPr>
          <w:rFonts w:ascii="Times New Roman" w:hAnsi="Times New Roman"/>
          <w:sz w:val="20"/>
        </w:rPr>
        <w:t xml:space="preserve">”) on the execution, issuance, delivery, registration or enforcement of any of the Notes, this Indenture or any other document or instrument referred to therein or the receipt of payments with respect thereto. For the avoidance of doubt, the indemnification provided in this Section 4.10(b) shall not include any Transfer Taxes arising from the transfer of Notes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(c) If the Company becomes after August 10, 2026 obligated to pay Additional Amounts with respect to any payment of principal or Special Interest under or with respect to the Notes, the Company shall deliver to the Trustee and Paying Agent (if other than the Trustee) on a date that is at least 30 days prior to the date of that payment (unless the obligation to pay Additional Amounts arises after the 30th day prior to that payment date, in which case the Company shall notify the Trustee and Paying Agent (if other than the Trustee) promptly in writing thereafter) an Officers’ Certificate stating the fact that Additional Amounts will be payable and the amount estimated to be so payable. The Officers’ Certificate must also set forth any other information reasonably necessary to enable the Paying Agent to pay Additional Amounts to Holders on the relevant payment date. The Trustee and Paying Agent (if other than the Trustee) shall be entitled to rely solely on such Officers’ Certificate as conclusive proof that such payments are necessary. The Company shall provide the Trustee with documentation reasonably satisfactory to the Trustee evidencing the payment of Additional Amounts.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any of its successors and the Paying Agent, as appropriate, shall make all withholdings and deductions required by law and shall remit the full amount deducted or withheld to the relevant tax authority in accordance with applicable law. Upon request, the Company shall provide to the Trustee an official receipt or, if official receipts are not customarily provided by the applicable tax authority, other documentation reasonably satisfactory to the Trustee and Paying Agent (if other than the Trustee) evidencing the payment of any Applicable Taxes so deducted or withheld. The Company shall attach to each certified copy or other document a certificate stating the amount of such Applicable Taxes paid per $1,000 principal amount of the Notes then outstanding. Upon written request, copies of those receipts or other documentation, as the case may be, shall be made available by the Trustee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(e) Whenever there is mentioned in this Indenture in any context the payment of principal of (including the Fundamental Change Repurchase Price, the Optional Repurchase Price and Redemption Price, if applicable) or Special Interest, if any, on, the Notes, such mention shall be deemed to include payment of Additional Amounts provided for in this Indenture to the extent that, in such context, Additional Amounts are, were or would be payable in respect thereof pursuant to this Section 4.10. </w:t>
      </w:r>
    </w:p>
    <w:p>
      <w:pPr>
        <w:pStyle w:val="TextBody"/>
        <w:bidi w:val="0"/>
        <w:spacing w:before="240" w:after="0"/>
        <w:jc w:val="left"/>
        <w:rPr>
          <w:rFonts w:ascii="Times New Roman" w:hAnsi="Times New Roman"/>
          <w:sz w:val="20"/>
        </w:rPr>
      </w:pPr>
      <w:r>
        <w:rPr>
          <w:rFonts w:ascii="Times New Roman" w:hAnsi="Times New Roman"/>
          <w:sz w:val="20"/>
        </w:rPr>
        <w:t xml:space="preserve">(f) The above obligations in this Section 4.10 will apply </w:t>
      </w:r>
      <w:r>
        <w:rPr>
          <w:rFonts w:ascii="Times New Roman" w:hAnsi="Times New Roman"/>
          <w:i/>
          <w:sz w:val="20"/>
        </w:rPr>
        <w:t>mutatis mutandis</w:t>
      </w:r>
      <w:r>
        <w:rPr>
          <w:rFonts w:ascii="Times New Roman" w:hAnsi="Times New Roman"/>
          <w:sz w:val="20"/>
        </w:rPr>
        <w:t xml:space="preserve"> to any successor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(g) If the Company determines that the Company will be required to withhold amounts in respect of cash, ADSs and/or Reference Property, in each case, that is payable and/or deliverable upon a conversion of Notes, the Company shall notify in writing the Trustee and the Conversion Agent (if other than the Trustee) and each Holder regarding such determination as promptly as possible but in no event later than 30 days after making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5 </w:t>
      </w:r>
    </w:p>
    <w:p>
      <w:pPr>
        <w:pStyle w:val="TextBody"/>
        <w:bidi w:val="0"/>
        <w:spacing w:before="0" w:after="0"/>
        <w:jc w:val="center"/>
        <w:rPr>
          <w:rFonts w:ascii="Times New Roman" w:hAnsi="Times New Roman"/>
          <w:sz w:val="20"/>
        </w:rPr>
      </w:pPr>
      <w:r>
        <w:rPr>
          <w:rFonts w:ascii="Times New Roman" w:hAnsi="Times New Roman"/>
          <w:sz w:val="20"/>
        </w:rPr>
        <w:t xml:space="preserve">LISTS OF HOLDERS AND REPORTS BY THE COMPANY AND THE TRUSTEE </w:t>
      </w:r>
    </w:p>
    <w:p>
      <w:pPr>
        <w:pStyle w:val="TextBody"/>
        <w:bidi w:val="0"/>
        <w:spacing w:before="240" w:after="0"/>
        <w:jc w:val="left"/>
        <w:rPr>
          <w:rFonts w:ascii="Times New Roman" w:hAnsi="Times New Roman"/>
          <w:sz w:val="20"/>
        </w:rPr>
      </w:pPr>
      <w:r>
        <w:rPr>
          <w:rFonts w:ascii="Times New Roman" w:hAnsi="Times New Roman"/>
          <w:sz w:val="20"/>
        </w:rPr>
        <w:t>Section 5.01</w:t>
      </w:r>
      <w:r>
        <w:rPr>
          <w:rFonts w:ascii="Times New Roman" w:hAnsi="Times New Roman"/>
          <w:i/>
          <w:sz w:val="20"/>
        </w:rPr>
        <w:t>. Lists of Holders.</w:t>
      </w:r>
      <w:r>
        <w:rPr>
          <w:rFonts w:ascii="Times New Roman" w:hAnsi="Times New Roman"/>
          <w:sz w:val="20"/>
        </w:rPr>
        <w:t xml:space="preserve"> The Company covenants and agrees that it will furnish or cause to be furnished to the Trustee, semi-annually, not more than 15 days after each February 1 and August 1 in each year beginning with February 1, 2027, and at such other times as the Trustee may request in writing, within 30 days after receipt by the Company of any such request,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 </w:t>
      </w:r>
    </w:p>
    <w:p>
      <w:pPr>
        <w:pStyle w:val="TextBody"/>
        <w:bidi w:val="0"/>
        <w:spacing w:before="240" w:after="0"/>
        <w:jc w:val="left"/>
        <w:rPr>
          <w:rFonts w:ascii="Times New Roman" w:hAnsi="Times New Roman"/>
          <w:sz w:val="20"/>
        </w:rPr>
      </w:pPr>
      <w:r>
        <w:rPr>
          <w:rFonts w:ascii="Times New Roman" w:hAnsi="Times New Roman"/>
          <w:sz w:val="20"/>
        </w:rPr>
        <w:t>Section 5.02</w:t>
      </w:r>
      <w:r>
        <w:rPr>
          <w:rFonts w:ascii="Times New Roman" w:hAnsi="Times New Roman"/>
          <w:i/>
          <w:sz w:val="20"/>
        </w:rPr>
        <w:t>. Preservation and Disclosure of Lists.</w:t>
      </w:r>
      <w:r>
        <w:rPr>
          <w:rFonts w:ascii="Times New Roman" w:hAnsi="Times New Roman"/>
          <w:sz w:val="20"/>
        </w:rPr>
        <w:t xml:space="preserve">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 </w:t>
      </w:r>
    </w:p>
    <w:p>
      <w:pPr>
        <w:pStyle w:val="TextBody"/>
        <w:bidi w:val="0"/>
        <w:spacing w:before="240" w:after="0"/>
        <w:jc w:val="center"/>
        <w:rPr>
          <w:rFonts w:ascii="Times New Roman" w:hAnsi="Times New Roman"/>
          <w:sz w:val="20"/>
        </w:rPr>
      </w:pPr>
      <w:r>
        <w:rPr>
          <w:rFonts w:ascii="Times New Roman" w:hAnsi="Times New Roman"/>
          <w:sz w:val="20"/>
        </w:rPr>
        <w:t xml:space="preserve">ARTICLE 6 </w:t>
      </w:r>
    </w:p>
    <w:p>
      <w:pPr>
        <w:pStyle w:val="TextBody"/>
        <w:bidi w:val="0"/>
        <w:spacing w:before="0" w:after="0"/>
        <w:jc w:val="center"/>
        <w:rPr>
          <w:rFonts w:ascii="Times New Roman" w:hAnsi="Times New Roman"/>
          <w:sz w:val="20"/>
        </w:rPr>
      </w:pPr>
      <w:r>
        <w:rPr>
          <w:rFonts w:ascii="Times New Roman" w:hAnsi="Times New Roman"/>
          <w:sz w:val="20"/>
        </w:rPr>
        <w:t xml:space="preserve">DEFAULTS AND REMEDIES </w:t>
      </w:r>
    </w:p>
    <w:p>
      <w:pPr>
        <w:pStyle w:val="TextBody"/>
        <w:bidi w:val="0"/>
        <w:spacing w:before="240" w:after="0"/>
        <w:jc w:val="left"/>
        <w:rPr>
          <w:rFonts w:ascii="Times New Roman" w:hAnsi="Times New Roman"/>
          <w:sz w:val="20"/>
        </w:rPr>
      </w:pPr>
      <w:r>
        <w:rPr>
          <w:rFonts w:ascii="Times New Roman" w:hAnsi="Times New Roman"/>
          <w:sz w:val="20"/>
        </w:rPr>
        <w:t>Section 6.01</w:t>
      </w:r>
      <w:r>
        <w:rPr>
          <w:rFonts w:ascii="Times New Roman" w:hAnsi="Times New Roman"/>
          <w:i/>
          <w:sz w:val="20"/>
        </w:rPr>
        <w:t>. Events of Default.</w:t>
      </w:r>
      <w:r>
        <w:rPr>
          <w:rFonts w:ascii="Times New Roman" w:hAnsi="Times New Roman"/>
          <w:sz w:val="20"/>
        </w:rPr>
        <w:t xml:space="preserve"> Each of the following events shall be an “</w:t>
      </w:r>
      <w:r>
        <w:rPr>
          <w:rFonts w:ascii="Times New Roman" w:hAnsi="Times New Roman"/>
          <w:b/>
          <w:sz w:val="20"/>
        </w:rPr>
        <w:t>Event of Default</w:t>
      </w:r>
      <w:r>
        <w:rPr>
          <w:rFonts w:ascii="Times New Roman" w:hAnsi="Times New Roman"/>
          <w:sz w:val="20"/>
        </w:rPr>
        <w:t xml:space="preserve">” with respect to the Notes: </w:t>
      </w:r>
    </w:p>
    <w:p>
      <w:pPr>
        <w:pStyle w:val="TextBody"/>
        <w:bidi w:val="0"/>
        <w:spacing w:before="120" w:after="0"/>
        <w:jc w:val="left"/>
        <w:rPr>
          <w:rFonts w:ascii="Times New Roman" w:hAnsi="Times New Roman"/>
          <w:sz w:val="20"/>
        </w:rPr>
      </w:pPr>
      <w:r>
        <w:rPr>
          <w:rFonts w:ascii="Times New Roman" w:hAnsi="Times New Roman"/>
          <w:sz w:val="20"/>
        </w:rPr>
        <w:t xml:space="preserve">(a) default in any payment of Special Interest or Additional Amounts on any Note when due and payable, and the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(b) default in the payment of principal of any Note when due and payable on the Maturity Date, upon Redemption, upon any required repurchase, upon declaration of acceleration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failure by the Company to comply with its obligation to convert the Notes in accordance with this Indenture upon exercise of a Holder’s conversion right and such failure continues for a period of five Business Days; </w:t>
      </w:r>
    </w:p>
    <w:p>
      <w:pPr>
        <w:pStyle w:val="TextBody"/>
        <w:bidi w:val="0"/>
        <w:spacing w:before="240" w:after="0"/>
        <w:jc w:val="left"/>
        <w:rPr>
          <w:rFonts w:ascii="Times New Roman" w:hAnsi="Times New Roman"/>
          <w:sz w:val="20"/>
        </w:rPr>
      </w:pPr>
      <w:r>
        <w:rPr>
          <w:rFonts w:ascii="Times New Roman" w:hAnsi="Times New Roman"/>
          <w:sz w:val="20"/>
        </w:rPr>
        <w:t xml:space="preserve">(d) failure by the Company to (i) issue a Fundamental Change Company Notice in accordance with Section 15.02(c) or a notice of a Make-Whole Fundamental Change in accordance with Section 14.03(b), in each case, when due and such failure continues for three Business Days or (ii) give notice of a specified corporate event in accordance with Section 14.01(b)(ii) or 14.01(b)(iii) when due and such failure is not cured within five Business Days after its occurrence; </w:t>
      </w:r>
    </w:p>
    <w:p>
      <w:pPr>
        <w:pStyle w:val="TextBody"/>
        <w:bidi w:val="0"/>
        <w:spacing w:before="240" w:after="0"/>
        <w:jc w:val="left"/>
        <w:rPr>
          <w:rFonts w:ascii="Times New Roman" w:hAnsi="Times New Roman"/>
          <w:sz w:val="20"/>
        </w:rPr>
      </w:pPr>
      <w:r>
        <w:rPr>
          <w:rFonts w:ascii="Times New Roman" w:hAnsi="Times New Roman"/>
          <w:sz w:val="20"/>
        </w:rPr>
        <w:t xml:space="preserve">(e) failure by the Company to comply with its obligations under Article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failure by the Company for 60 days after written notice from the Trustee or the Holders of at least 25% in aggregate principal amount of the Notes then outstanding has been received by the Company to comply with any of its other agreements contained in the Notes or this Indenture (other than a Default set forth in clause (a), (b), (c), (d) or (e) above), which notice shall specify such Default, demand that it be remedied and state that such notice is a “notice of default”; </w:t>
      </w:r>
    </w:p>
    <w:p>
      <w:pPr>
        <w:pStyle w:val="TextBody"/>
        <w:bidi w:val="0"/>
        <w:spacing w:before="240" w:after="0"/>
        <w:jc w:val="left"/>
        <w:rPr>
          <w:rFonts w:ascii="Times New Roman" w:hAnsi="Times New Roman"/>
          <w:sz w:val="20"/>
        </w:rPr>
      </w:pPr>
      <w:r>
        <w:rPr>
          <w:rFonts w:ascii="Times New Roman" w:hAnsi="Times New Roman"/>
          <w:sz w:val="20"/>
        </w:rPr>
        <w:t xml:space="preserve">(g) default by the Company or any Significant Subsidiary of the Company with respect to any mortgage, agreement or other instrument under which there may be outstanding, or by which there may be secured or evidenced, any indebtedness for money borrowed (other than non-recourse indebtedness) in excess of $100,000,000 (or its foreign currency equivalent)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indebtedness when due and payable (after the expiration of all applicable grace periods) at its stated maturity, upon required repurchase, upon declaration of acceleration or otherwise, and in the cases of clauses (i) and (ii), such acceleration has not been rescinded or annulled or where such default is not cured or waived within 30 days after notice to the Company by the Trustee or to the Company and the Trustee by Holders of at least 25% of the aggregate principal amount of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(h) the Company or any Significant Subsidiary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w:t>
      </w:r>
    </w:p>
    <w:p>
      <w:pPr>
        <w:pStyle w:val="TextBody"/>
        <w:bidi w:val="0"/>
        <w:spacing w:before="240" w:after="0"/>
        <w:jc w:val="left"/>
        <w:rPr>
          <w:rFonts w:ascii="Times New Roman" w:hAnsi="Times New Roman"/>
          <w:sz w:val="20"/>
        </w:rPr>
      </w:pPr>
      <w:r>
        <w:rPr>
          <w:rFonts w:ascii="Times New Roman" w:hAnsi="Times New Roman"/>
          <w:sz w:val="20"/>
        </w:rPr>
        <w:t xml:space="preserve">(i) 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i/>
          <w:sz w:val="20"/>
        </w:rPr>
        <w:t>Acceleration; Rescission and Annulment</w:t>
      </w:r>
      <w:r>
        <w:rPr>
          <w:rFonts w:ascii="Times New Roman" w:hAnsi="Times New Roman"/>
          <w:sz w:val="20"/>
        </w:rPr>
        <w:t xml:space="preserve">. If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6.01(h) or Section 6.01(i) with respect to the Company and not solely with respect to a Significant Subsidiary of the Company),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Trustee, at the written request of such Holders accompanied by security and/or indemnity satisfactory to the Trustee and otherwise subject to the limitations set forth herein, shall) declare 100% of the principal of, and accrued and unpaid Special Interest, if any, on, all the Notes to be due and payable immediately, and upon any such declaration the same shall become and shall automatically be immediately due and payable without any action on the part of the Trustee, anything contained in this Indenture or in the Notes to the contrary notwithstanding. For the avoidance of doubt, if such Event of Default is not continuing at the time such notice is provided (that is, after such Event of Default has been cured or waived as of such time), then such notice will not be effective to cause such amounts to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specified in Section 6.01(h) or Section 6.01(i) with respect to the Company (and not solely with respect to a Significant Subsidiary of the Company) occurs and is continuing, 100% of the principal of, and accrued and unpaid Special Interest, if any, on, all Notes shall become and shall automatically be immediately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immediately preceding paragraph, however, is subject to the conditions that if, at any time after the principal of the Notes shall have been so declared due and payable, and before any judgment or decree for the payment of the monies due shall have been obtained or entered as hereinafter provided, the Company shall pay or shall deposit with the Trustee a sum sufficient to pay installments of accrued and unpaid Special Interest, if any, upon all Notes and the principal of any and all Notes that shall have become due otherwise than by acceleration (with no interest accruing on any principal or Special Interest unless Special Interest was payable pursuant to this Indenture on the required payment date, in which case such overdue amounts shall accrue interest per annum at the then-applicable Special Interest rate borne by the Notes, subject to the enforceability thereof under applicable law, from, and including, such required payment date) and amounts due to the Trustee pursuant to Section 7.06, and if (1) rescission would not conflict with any judgment or decree of a court of competent jurisdiction and (2) any and all existing Events of Default under this Indenture, other than the nonpayment of the principal of and accrued and unpaid Special Interest, if any, on Notes that shall have become due solely by such acceleration, shall have been cured or waived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(including the Redemption Price, the Optional Repurchase Price and the Fundamental Change Repurchase Price, if applicable) of, or accrued and unpaid Special Interest, if any, on, any Notes, (ii) a failure to repurchase any Notes when required or (iii) a failure to pay or deliver, as the case may be, the consideration due upon conversion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avoidance of doubt, and without limiting the manner in which any Default or Event of Default can be cured: (i) a failure by the Company to send a notice in accordance with this Indenture and any related Default (or Event of Default) shall be deemed cured and shall cease to continue upon delivery of such notice to the applicable recipient; (ii) if the Company fails to make any payment of principal of or Special Interest, if any, on the Notes (or delivery of any other consideration in respect thereof) when due, such Default (or Event of Default) shall be deemed cured and shall cease to continue upon the making of such payment or delivery, as applicable, together, if applicable, with any interest thereon; and (iii) a Reporting Event of Default shall be deemed cured and shall cease to continue at such time as the Company files the applicable report or reports that gave rise to such Reporting Event of Default (it being understood that any report that the Company files with the Commission through the EDGAR system (or any successor thereto) will be deemed to be filed with the Trustee at the time such report is so filed via the EDGAR system (or such successor)); </w:t>
      </w:r>
      <w:r>
        <w:rPr>
          <w:rFonts w:ascii="Times New Roman" w:hAnsi="Times New Roman"/>
          <w:i/>
          <w:sz w:val="20"/>
        </w:rPr>
        <w:t>provided</w:t>
      </w:r>
      <w:r>
        <w:rPr>
          <w:rFonts w:ascii="Times New Roman" w:hAnsi="Times New Roman"/>
          <w:sz w:val="20"/>
        </w:rPr>
        <w:t xml:space="preserve"> that, for the avoidance of doubt, (x) the cure of any Event of Default shall not invalidate any acceleration of the Notes on account of such Event of Default that was properly effected prior to such time as such Event of Default was cured and (y) the cure of any Reporting Event of Default shall not affect the Company’s obligation to pay any Special Interest that accrues prior to the time of such cure. In addition, if an Event of Default is cured or waived before any related notice of acceleration is delivered, such Event of Default shall be deemed cured and the Notes shall not be subject to acceleration on account of such Event of Default. For the avoidance of doubt, nothing in the immediately preceding two sentences shall constitute a waiver of or in any way limit the Trustee’s or any Holder’s right to institute suit for any damages incurred as a result of the Company’s breach of any covenant under this Indenture even if such breach is subsequently cured.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i/>
          <w:sz w:val="20"/>
        </w:rPr>
        <w:t>Special Interest</w:t>
      </w:r>
      <w:r>
        <w:rPr>
          <w:rFonts w:ascii="Times New Roman" w:hAnsi="Times New Roman"/>
          <w:sz w:val="20"/>
        </w:rPr>
        <w:t>. Notwithstanding anything in this Indenture or in the Notes to the contrary, to the extent the Company elects, the sole remedy for an Event of Default relating to the Company’s failure to comply with its obligations as set forth in Section 4.06(b) (such default, a “</w:t>
      </w:r>
      <w:r>
        <w:rPr>
          <w:rFonts w:ascii="Times New Roman" w:hAnsi="Times New Roman"/>
          <w:b/>
          <w:sz w:val="20"/>
        </w:rPr>
        <w:t>Reporting Event of Default</w:t>
      </w:r>
      <w:r>
        <w:rPr>
          <w:rFonts w:ascii="Times New Roman" w:hAnsi="Times New Roman"/>
          <w:sz w:val="20"/>
        </w:rPr>
        <w:t xml:space="preserve">”) shall (i) for the first 180 days after the occurrence of such Reporting Event of Default consist exclusively of the right to receive Special Interest on the Notes at a rate equal to 0.25% per annum of the principal amount of the Notes outstanding for each day during such 180-day period on which such Reporting Event of Default is continuing and (ii) for the period from, and including, the 181st day after the occurrence of such Reporting Event of Default to, and including, the 360th day after the occurrence of such Reporting Event of Default, consist exclusively of the right to receive Special Interest on the Notes at a rate equal to 0.50% per annum of the principal amount of the Notes outstanding for each day during such additional 180-day period on which such Reporting Event of Default is continuing. Special Interest payable pursuant to this Section 6.03 shall be in addition to, not in lieu of, any Special Interest payable pursuant to Section 4.06(d) or Section 4.06(e) (subject to the last paragraph of this Section 6.03). If the Company so elects, such Special Interest shall be payable as set forth in Section 2.03. On the 361st day after a Reporting Event of Default (if such Reporting Event of Default is not cured or waived prior to such 361st day), the Notes shall be immediately subject to acceleration as provided in Section 6.02. The provisions of this paragraph will not affect the rights of Holders of Notes in the event of the occurrence of any Event of Default other than a Reporting Event of Default. In the event the Company does not elect to pay Special Interest following a Reporting Event of Default in accordance with this Section 6.03 or the Company elected to make such payment but does not pay the Special Interest when due, the Notes shall be immediately subject to acceleration as provided in Section 6.02.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order to elect to pay Special Interest as the sole remedy during the first 360 days after the occurrence of any Reporting Event of Default, the Company must notify all Holders of the Notes, the Trustee and the Paying Agent, or cause the Trustee (upon three Business Days written notice, unless a shorter period shall be satisfactory to the Trustee) to notify the Paying Agent (in the case of a Paying Agent other than the Trustee) and all Holders of the Notes, of such election in writing prior to the beginning of such 360-day period. Upon the failure to timely give such notice, the Notes shall be immediately subject to acceleration as provided in Section 6.02.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Special Interest payable at the Company’s election as a remedy for a Reporting Event of Default as set forth in this Section 6.03, together with any Special Interest that may accrue as a result of the Company’s failure to timely file any document or report that the Company is required to file with the Commission pursuant to Section 13 or 15(d) of the Exchange Act, as applicable (after giving effect to all applicable grace periods thereunder and other than reports on Form 6-K), pursuant to Section 4.06(d), accrue at a rate in excess of 0.50% per annum pursuant to this Indenture, regardless of the number of events or circumstances giving rise to the requirement to pay such Special Interest.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not at any time be under any duty or responsibility to any Holder to determine Special Interest, or with respect to the nature, extent or calculation of the amount of Special Interest owed, or with respect to the method employed in such calculation of Special Interest. </w:t>
      </w:r>
    </w:p>
    <w:p>
      <w:pPr>
        <w:pStyle w:val="TextBody"/>
        <w:bidi w:val="0"/>
        <w:spacing w:before="240" w:after="0"/>
        <w:jc w:val="left"/>
        <w:rPr>
          <w:rFonts w:ascii="Times New Roman" w:hAnsi="Times New Roman"/>
          <w:sz w:val="20"/>
        </w:rPr>
      </w:pPr>
      <w:r>
        <w:rPr>
          <w:rFonts w:ascii="Times New Roman" w:hAnsi="Times New Roman"/>
          <w:sz w:val="20"/>
        </w:rPr>
        <w:t>Section 6.04</w:t>
      </w:r>
      <w:r>
        <w:rPr>
          <w:rFonts w:ascii="Times New Roman" w:hAnsi="Times New Roman"/>
          <w:i/>
          <w:sz w:val="20"/>
        </w:rPr>
        <w:t>. Payments of Notes on Default; Suit Therefor.</w:t>
      </w:r>
      <w:r>
        <w:rPr>
          <w:rFonts w:ascii="Times New Roman" w:hAnsi="Times New Roman"/>
          <w:sz w:val="20"/>
        </w:rPr>
        <w:t xml:space="preserve"> If an Event of Default described in clause (a) or (b) of Section 6.01 shall have occurred and be continuing, the Company shall, upon demand of the Trustee, pay to the Trustee, for the benefit of the Holders of the Notes, the whole amount then due and payable on the Notes for principal and interest, if any (with no interest accruing on any overdue principal or Special Interest unless Special Interest was payable pursuant to this Indenture on the required payment date, in which case such overdue amounts shall accrue interest per annum at the then-applicable Special Interest rate borne by the Notes, subject to enforceability thereof under applicable law, from, and including such required payment date), and, in addition thereto, such further amount as shall be sufficient to cover any amounts due to the Trustee under Section 7.06. If the Company shall fail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Notes and collect the moneys adjudged or decreed to be payable in the manner provided by law out of the property of the Company or any other obligor upon the Notes,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 deliverable on any such claims, and to distribute the same after the deduction of any amounts due to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reasonable compensation, expenses, advances and disbursements, including agents and counsel fees and expenses, and including any other amounts due to the Trustee under Section 7.06, incurred by it up to the date of such distribution. To the extent that such payment of reasonable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Nothing herein contained shall be deemed to authorize the Trustee to authorize or consent to or accept or adopt on behalf of any Holder any plan of reorganization, arrangement, adjustment or composition affecting such Holder or the rights of any Holder thereof, or to authorize the Trustee to vote in respect of the claim of any Holder in any such proceeding.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 </w:t>
      </w:r>
    </w:p>
    <w:p>
      <w:pPr>
        <w:pStyle w:val="TextBody"/>
        <w:bidi w:val="0"/>
        <w:spacing w:before="240" w:after="0"/>
        <w:jc w:val="left"/>
        <w:rPr>
          <w:rFonts w:ascii="Times New Roman" w:hAnsi="Times New Roman"/>
          <w:sz w:val="20"/>
        </w:rPr>
      </w:pPr>
      <w:r>
        <w:rPr>
          <w:rFonts w:ascii="Times New Roman" w:hAnsi="Times New Roman"/>
          <w:sz w:val="20"/>
        </w:rPr>
        <w:t xml:space="preserve">In case the Trustee shall have proceeded to enforce any right under this Indenture and such proceedings shall have been discontinued or abandoned because of any waiver pursuant to Section 6.09 or any rescission and annulment pursuant to Section 6.02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6.05</w:t>
      </w:r>
      <w:r>
        <w:rPr>
          <w:rFonts w:ascii="Times New Roman" w:hAnsi="Times New Roman"/>
          <w:i/>
          <w:sz w:val="20"/>
        </w:rPr>
        <w:t>. Application of Monies Collected by Trustee.</w:t>
      </w:r>
      <w:r>
        <w:rPr>
          <w:rFonts w:ascii="Times New Roman" w:hAnsi="Times New Roman"/>
          <w:sz w:val="20"/>
        </w:rPr>
        <w:t xml:space="preserve"> Any monies or property collected by the Trustee pursuant to this Article 6 with respect to the Notes shall be applied in the following order, at the date or dates fixed by the Trustee for the distribution of such monies or property, upon presentation of the several Notes, and stamping thereon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to the payment of all amounts due the Trustee (in all of its capacities) under Section 7.06;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in case the principal of the outstanding Notes shall not have become due and be unpaid, to the payment of Special Interest, if any, on, and any cash due upon conversion of, the Notes in default in the order of the date due of the payments of such Special Interest, if any, and cash due upon conversion, as the case may be, with interest (to the extent that any such interest is payable on such Notes and has been collected by the Trustee) upon such overdue payments at the then-applicable rate of Special Interest borne by the Notes at such time, if any, such payments to be made ratably to the Persons entitled thereto;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in case the principal of the outstanding Notes shall have become due, by declaration or otherwise, and be unpaid, to the payment of the whole amount (including, if applicable, the payment of the Redemption Price, the Optional Repurchase Price and the Fundamental Change Repurchase Price and any cash due upon conversion) then owing and unpaid upon the Notes for principal and Special Interest, if any, with interest (to the extent Special Interest is then payable on the Notes) on the overdue principal and, to the extent that such interest, if any, has been collected by the Trustee, upon overdue Special Interest, if any, at the then-applicable rate of Special Interest borne by the Notes at such time, and in case such monies shall be insufficient to pay in full the whole amounts so due and unpaid upon the Notes, then to the payment of such principal (including, if applicable, the Redemption Price, the Optional Repurchase Price and the Fundamental Change Repurchase Price and any cash due upon conversion) and such Special Interest, if any, and such interest on overdue principal and Special Interest, if any, without preference or priority of principal over any such interest, or of any such interest over principal or of any installment of interest over any other installment of interest, or of any Note over any other Note, ratably to the aggregate of such principal (including, if applicable, the Redemption Price, the Optional Repurchase Price and the Fundamental Change Repurchase Price and any cash due upon conversion) and accrued and unpaid interest, if any; and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to the payment of the remainder, if any, to the Company. </w:t>
      </w:r>
    </w:p>
    <w:p>
      <w:pPr>
        <w:pStyle w:val="TextBody"/>
        <w:bidi w:val="0"/>
        <w:spacing w:before="240" w:after="0"/>
        <w:jc w:val="left"/>
        <w:rPr>
          <w:rFonts w:ascii="Times New Roman" w:hAnsi="Times New Roman"/>
          <w:sz w:val="20"/>
        </w:rPr>
      </w:pPr>
      <w:r>
        <w:rPr>
          <w:rFonts w:ascii="Times New Roman" w:hAnsi="Times New Roman"/>
          <w:sz w:val="20"/>
        </w:rPr>
        <w:t>Section 6.06</w:t>
      </w:r>
      <w:r>
        <w:rPr>
          <w:rFonts w:ascii="Times New Roman" w:hAnsi="Times New Roman"/>
          <w:i/>
          <w:sz w:val="20"/>
        </w:rPr>
        <w:t>. Proceedings by Holders.</w:t>
      </w:r>
      <w:r>
        <w:rPr>
          <w:rFonts w:ascii="Times New Roman" w:hAnsi="Times New Roman"/>
          <w:sz w:val="20"/>
        </w:rPr>
        <w:t xml:space="preserve"> Except to enforce the right to receive payment of principal (including, if applicable, the Redemption Price, the Optional Repurchase Price and the Fundamental Change Repurchase Price) or interest, if any,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(a) such Holder previously shall have given to the Trustee written notice of an Event of Default and of the continuance thereof, as herein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Holders of at least 25% in aggregate principal amount of the Notes then outstanding shall have made written request upon the Trustee to institute such action, suit or proceeding in its own name as Trustee hereunder; </w:t>
      </w:r>
    </w:p>
    <w:p>
      <w:pPr>
        <w:pStyle w:val="TextBody"/>
        <w:bidi w:val="0"/>
        <w:spacing w:before="240" w:after="0"/>
        <w:jc w:val="left"/>
        <w:rPr>
          <w:rFonts w:ascii="Times New Roman" w:hAnsi="Times New Roman"/>
          <w:sz w:val="20"/>
        </w:rPr>
      </w:pPr>
      <w:r>
        <w:rPr>
          <w:rFonts w:ascii="Times New Roman" w:hAnsi="Times New Roman"/>
          <w:sz w:val="20"/>
        </w:rPr>
        <w:t xml:space="preserve">(c) such Holders shall have offered, and if requested, provided to the Trustee such security and/or indemnity reasonably satisfactory to it against any loss, liability, claim or expense to the Trustee that may result from the Trustee’s following such request; </w:t>
      </w:r>
    </w:p>
    <w:p>
      <w:pPr>
        <w:pStyle w:val="TextBody"/>
        <w:bidi w:val="0"/>
        <w:spacing w:before="240" w:after="0"/>
        <w:jc w:val="left"/>
        <w:rPr>
          <w:rFonts w:ascii="Times New Roman" w:hAnsi="Times New Roman"/>
          <w:sz w:val="20"/>
        </w:rPr>
      </w:pPr>
      <w:r>
        <w:rPr>
          <w:rFonts w:ascii="Times New Roman" w:hAnsi="Times New Roman"/>
          <w:sz w:val="20"/>
        </w:rPr>
        <w:t xml:space="preserve">(d) the Trustee for 60 days after its receipt of such notice, request and offer of such security and/or indemnity, shall have neglected or refused to institute any such action, suit or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(e) no direction that, in the opinion of the Trustee, is inconsistent with such written request shall have been given to the Trustee by the Holders of a majority of the aggregate principal amount of the Notes then outstanding within such 60-day period pursuant to Section 6.09, </w:t>
      </w:r>
    </w:p>
    <w:p>
      <w:pPr>
        <w:pStyle w:val="TextBody"/>
        <w:bidi w:val="0"/>
        <w:spacing w:before="240" w:after="0"/>
        <w:jc w:val="left"/>
        <w:rPr>
          <w:rFonts w:ascii="Times New Roman" w:hAnsi="Times New Roman"/>
          <w:sz w:val="20"/>
        </w:rPr>
      </w:pPr>
      <w:r>
        <w:rPr>
          <w:rFonts w:ascii="Times New Roman" w:hAnsi="Times New Roman"/>
          <w:sz w:val="20"/>
        </w:rPr>
        <w:t xml:space="preserve">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(it being understood that the Trustee does not have an affirmative duty to ascertain whether or not such actions or forbearances are unduly prejudicial to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Indenture and any provision of any Note, each Holder shall have the right to receive payment or delivery, as the case may be, of (x) the principal (including the Redemption Price, the Optional Repurchase Price and the Fundamental Change Repurchase Price, if applicable) of, (y) accrued and unpaid Special Interest, if any, on, and (z) the consideration due upon conversion of, such Note, on or after the respective due dates expressed or provided for in such Note or in this Indenture, or to institute suit for the enforcement of any such payment or delivery, as the case may be. </w:t>
      </w:r>
    </w:p>
    <w:p>
      <w:pPr>
        <w:pStyle w:val="TextBody"/>
        <w:bidi w:val="0"/>
        <w:spacing w:before="240" w:after="0"/>
        <w:jc w:val="left"/>
        <w:rPr>
          <w:rFonts w:ascii="Times New Roman" w:hAnsi="Times New Roman"/>
          <w:sz w:val="20"/>
        </w:rPr>
      </w:pPr>
      <w:r>
        <w:rPr>
          <w:rFonts w:ascii="Times New Roman" w:hAnsi="Times New Roman"/>
          <w:sz w:val="20"/>
        </w:rPr>
        <w:t>Section 6.07</w:t>
      </w:r>
      <w:r>
        <w:rPr>
          <w:rFonts w:ascii="Times New Roman" w:hAnsi="Times New Roman"/>
          <w:i/>
          <w:sz w:val="20"/>
        </w:rPr>
        <w:t>. Proceedings by Trustee.</w:t>
      </w:r>
      <w:r>
        <w:rPr>
          <w:rFonts w:ascii="Times New Roman" w:hAnsi="Times New Roman"/>
          <w:sz w:val="20"/>
        </w:rPr>
        <w:t xml:space="preserve"> In case of an Event of Default, the Trustee may in its discretion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6.08</w:t>
      </w:r>
      <w:r>
        <w:rPr>
          <w:rFonts w:ascii="Times New Roman" w:hAnsi="Times New Roman"/>
          <w:i/>
          <w:sz w:val="20"/>
        </w:rPr>
        <w:t>. Remedies Cumulative and Continuing.</w:t>
      </w:r>
      <w:r>
        <w:rPr>
          <w:rFonts w:ascii="Times New Roman" w:hAnsi="Times New Roman"/>
          <w:sz w:val="20"/>
        </w:rPr>
        <w:t xml:space="preserve">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 or any acquiescence therein; and, subject to the provisions of Section 6.06, every power and remedy given by this Article 6 or by law to the Trustee or to the Holders may be exercised from time to time, and as often as shall be deemed expedient, by the Trustee or by the Holders. </w:t>
      </w:r>
    </w:p>
    <w:p>
      <w:pPr>
        <w:pStyle w:val="TextBody"/>
        <w:bidi w:val="0"/>
        <w:spacing w:before="240" w:after="0"/>
        <w:jc w:val="left"/>
        <w:rPr>
          <w:rFonts w:ascii="Times New Roman" w:hAnsi="Times New Roman"/>
          <w:sz w:val="20"/>
        </w:rPr>
      </w:pPr>
      <w:r>
        <w:rPr>
          <w:rFonts w:ascii="Times New Roman" w:hAnsi="Times New Roman"/>
          <w:sz w:val="20"/>
        </w:rPr>
        <w:t>Section 6.09</w:t>
      </w:r>
      <w:r>
        <w:rPr>
          <w:rFonts w:ascii="Times New Roman" w:hAnsi="Times New Roman"/>
          <w:i/>
          <w:sz w:val="20"/>
        </w:rPr>
        <w:t>. Direction of Proceedings and Waiver of Defaults by Majority of Holders.</w:t>
      </w:r>
      <w:r>
        <w:rPr>
          <w:rFonts w:ascii="Times New Roman" w:hAnsi="Times New Roman"/>
          <w:sz w:val="20"/>
        </w:rPr>
        <w:t xml:space="preserve"> Subject to Trustee’s right to receive security or indemnity from the relevant Holders as described herein, the Holders of a majority of the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the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 such direction shall not be in conflict with any rule of law or with this Indenture, and (b) the Trustee may take any other action deemed proper by the Trustee that is not inconsistent with such direction. The Trustee may refuse to follow any direction that it determines is unduly prejudicial to the rights of any other Holder (it being understood that the Trustee does not have an obligation to determine if a direction is unduly prejudicial to the rights of a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Special Interest, if any, on, or the principal (including the Redemption Price, the Optional Repurchase Price and the Fundamental Change Repurchase Price, if applicable) of, the Notes when due that has not been cured pursuant to the provisions of Section 6.01, (ii) a failure by the Company to pay or deliver, as the case may be, the consideration due upon conversion of the Notes or (iii)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6.10</w:t>
      </w:r>
      <w:r>
        <w:rPr>
          <w:rFonts w:ascii="Times New Roman" w:hAnsi="Times New Roman"/>
          <w:i/>
          <w:sz w:val="20"/>
        </w:rPr>
        <w:t>. Notice of Defaults.</w:t>
      </w:r>
      <w:r>
        <w:rPr>
          <w:rFonts w:ascii="Times New Roman" w:hAnsi="Times New Roman"/>
          <w:sz w:val="20"/>
        </w:rPr>
        <w:t xml:space="preserve"> The Trustee shall, within 90 days after the Trustee’s receipt of notice of the occurrence and continuance of a Default, deliver to all Holders notice of such Default, unless such Default shall have been cured or waived before the giving of such notice; </w:t>
      </w:r>
      <w:r>
        <w:rPr>
          <w:rFonts w:ascii="Times New Roman" w:hAnsi="Times New Roman"/>
          <w:i/>
          <w:sz w:val="20"/>
        </w:rPr>
        <w:t>provided</w:t>
      </w:r>
      <w:r>
        <w:rPr>
          <w:rFonts w:ascii="Times New Roman" w:hAnsi="Times New Roman"/>
          <w:sz w:val="20"/>
        </w:rPr>
        <w:t xml:space="preserve"> that, except in the case of a Default in the payment of the principal of (including the Redemption Price, the Optional Repurchase Price and the Fundamental Change Repurchase Price, if applicable), or accrued and unpaid Special Interest, if any, on, any of the Notes or a Default in the payment or delivery of the consideration due upon conversion, the Trustee shall be protected in withholding such notice if it determines that the withholding of such notice is in the interests of the Holders. </w:t>
      </w:r>
    </w:p>
    <w:p>
      <w:pPr>
        <w:pStyle w:val="TextBody"/>
        <w:bidi w:val="0"/>
        <w:spacing w:before="240" w:after="0"/>
        <w:jc w:val="left"/>
        <w:rPr>
          <w:rFonts w:ascii="Times New Roman" w:hAnsi="Times New Roman"/>
          <w:sz w:val="20"/>
        </w:rPr>
      </w:pPr>
      <w:r>
        <w:rPr>
          <w:rFonts w:ascii="Times New Roman" w:hAnsi="Times New Roman"/>
          <w:sz w:val="20"/>
        </w:rPr>
        <w:t>Section 6.11</w:t>
      </w:r>
      <w:r>
        <w:rPr>
          <w:rFonts w:ascii="Times New Roman" w:hAnsi="Times New Roman"/>
          <w:i/>
          <w:sz w:val="20"/>
        </w:rPr>
        <w:t>. Undertaking to Pay Costs.</w:t>
      </w:r>
      <w:r>
        <w:rPr>
          <w:rFonts w:ascii="Times New Roman" w:hAnsi="Times New Roman"/>
          <w:sz w:val="20"/>
        </w:rPr>
        <w:t xml:space="preserve">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w:t>
      </w:r>
      <w:r>
        <w:rPr>
          <w:rFonts w:ascii="Times New Roman" w:hAnsi="Times New Roman"/>
          <w:i/>
          <w:sz w:val="20"/>
        </w:rPr>
        <w:t>provided</w:t>
      </w:r>
      <w:r>
        <w:rPr>
          <w:rFonts w:ascii="Times New Roman" w:hAnsi="Times New Roman"/>
          <w:sz w:val="20"/>
        </w:rPr>
        <w:t xml:space="preserve"> that the provisions of this Section 6.11 (to the extent permitted by law) shall not apply to any suit instituted by the Trustee, to any suit instituted by any Holder, or group of Holders, holding in the aggregate more than 10% in principal amount of the Notes at the time outstanding determined in accordance with Section 8.04 or to any suit instituted by any Holder for the enforcement of the payment of the principal of or accrued and unpaid Special Interest, if any, on any Note (including, but not limited to, the Redemption Price, the Optional Repurchase Price and the Fundamental Change Repurchase Price, if applicable) on or after the due date expressed or provided for in such Note or to any suit for the enforcement of the right to convert any Note, or receive the consideration due upon conversion, in accordance with the provisions of Article 14.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TRUSTEE </w:t>
      </w:r>
    </w:p>
    <w:p>
      <w:pPr>
        <w:pStyle w:val="TextBody"/>
        <w:bidi w:val="0"/>
        <w:spacing w:before="240" w:after="0"/>
        <w:jc w:val="left"/>
        <w:rPr>
          <w:rFonts w:ascii="Times New Roman" w:hAnsi="Times New Roman"/>
          <w:sz w:val="20"/>
        </w:rPr>
      </w:pPr>
      <w:r>
        <w:rPr>
          <w:rFonts w:ascii="Times New Roman" w:hAnsi="Times New Roman"/>
          <w:sz w:val="20"/>
        </w:rPr>
        <w:t>Section 7.01</w:t>
      </w:r>
      <w:r>
        <w:rPr>
          <w:rFonts w:ascii="Times New Roman" w:hAnsi="Times New Roman"/>
          <w:i/>
          <w:sz w:val="20"/>
        </w:rPr>
        <w:t>. Duties and Responsibilities of Trustee.</w:t>
      </w:r>
      <w:r>
        <w:rPr>
          <w:rFonts w:ascii="Times New Roman" w:hAnsi="Times New Roman"/>
          <w:sz w:val="20"/>
        </w:rPr>
        <w:t xml:space="preserve"> The Trustee, prior to the occurrence of an Event of Default and after the curing or waiver of all Events of Default that may have occurred, undertakes to perform such duties and only such duties as are specifically set forth in this Indenture. In the event an Event of Default has occurred and is continuing under this Indenture, and the Responsible Officer of the Trustee had actual knowledge of such Event of Default, the Trustee shall exercise such of the rights and powers vested in it by this Indenture, and use the same degree of care and skill in its exercise, as a prudent person would exercise or use under the circumstances in the conduct of such person’s own affairs; </w:t>
      </w:r>
      <w:r>
        <w:rPr>
          <w:rFonts w:ascii="Times New Roman" w:hAnsi="Times New Roman"/>
          <w:i/>
          <w:sz w:val="20"/>
        </w:rPr>
        <w:t>provided</w:t>
      </w:r>
      <w:r>
        <w:rPr>
          <w:rFonts w:ascii="Times New Roman" w:hAnsi="Times New Roman"/>
          <w:sz w:val="20"/>
        </w:rPr>
        <w:t xml:space="preserve"> that the Trustee will be under no obligation to exercise any of the rights or powers under this Indenture at the request or direction of any of the Holders unless such Holders have provided, if requested, to the Trustee indemnity and/or security satisfactory to it against any loss, liability, claim or expense that might be incurred by it in compliance with such request or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 provision of this Indenture shall be construed to relieve the Trustee from liability for its own grossly negligent action, its own grossly negligent failure to act or its own willful misconduct, except that: </w:t>
      </w:r>
    </w:p>
    <w:p>
      <w:pPr>
        <w:pStyle w:val="TextBody"/>
        <w:bidi w:val="0"/>
        <w:spacing w:before="120" w:after="0"/>
        <w:jc w:val="left"/>
        <w:rPr>
          <w:rFonts w:ascii="Times New Roman" w:hAnsi="Times New Roman"/>
          <w:sz w:val="20"/>
        </w:rPr>
      </w:pPr>
      <w:r>
        <w:rPr>
          <w:rFonts w:ascii="Times New Roman" w:hAnsi="Times New Roman"/>
          <w:sz w:val="20"/>
        </w:rPr>
        <w:t xml:space="preserve">(a) prior to the occurrence of an Event of Default and after the curing or waiving of all Events of Default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(i) 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gross negligence and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not be liable for any error of judgment made in good faith by a Responsible Officer or Officers of the Trustee, unless it shall be proved that the Trustee was grossly negligent in ascertaining the pertinent facts; </w:t>
      </w:r>
    </w:p>
    <w:p>
      <w:pPr>
        <w:pStyle w:val="TextBody"/>
        <w:bidi w:val="0"/>
        <w:spacing w:before="240" w:after="0"/>
        <w:jc w:val="left"/>
        <w:rPr>
          <w:rFonts w:ascii="Times New Roman" w:hAnsi="Times New Roman"/>
          <w:sz w:val="20"/>
        </w:rPr>
      </w:pPr>
      <w:r>
        <w:rPr>
          <w:rFonts w:ascii="Times New Roman" w:hAnsi="Times New Roman"/>
          <w:sz w:val="20"/>
        </w:rPr>
        <w:t xml:space="preserve">(c) the Trustee shall not be liable for any action it takes or omits to take in good faith that it believes to be authorized or within the rights or powers conferred upon it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(d) the Trustee shall not be liable with respect to any action taken or omitted to be taken by it in good faith in accordance with the direction of the Holders of not less than a majority of the aggregate principal amount of the Notes at the time outstanding determined as provided in Section 8.04 relating to the time, method and place of conducting any proceeding for any remedy available to the Trustee, or exercising any trust or power conferred upon the Trustee,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whether or not therein provided, every provision of this Indenture relating to the conduct or affecting the liability of, or affording protection to, the Trustee shall be subject to the provisions of this Section 7.01; </w:t>
      </w:r>
    </w:p>
    <w:p>
      <w:pPr>
        <w:pStyle w:val="TextBody"/>
        <w:bidi w:val="0"/>
        <w:spacing w:before="240" w:after="0"/>
        <w:jc w:val="left"/>
        <w:rPr>
          <w:rFonts w:ascii="Times New Roman" w:hAnsi="Times New Roman"/>
          <w:sz w:val="20"/>
        </w:rPr>
      </w:pPr>
      <w:r>
        <w:rPr>
          <w:rFonts w:ascii="Times New Roman" w:hAnsi="Times New Roman"/>
          <w:sz w:val="20"/>
        </w:rPr>
        <w:t xml:space="preserve">(f) 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if any party fails to deliver a notice relating to an event the fact of which, pursuant to this Indenture, requires notice to be sent to the Trustee, the Trustee may conclusively rely on its failure to receive such notice as reason to act as if no such event occurred, unless a Responsible Officer of the Trustee had actual knowledge of such event; </w:t>
      </w:r>
    </w:p>
    <w:p>
      <w:pPr>
        <w:pStyle w:val="TextBody"/>
        <w:bidi w:val="0"/>
        <w:spacing w:before="240" w:after="0"/>
        <w:jc w:val="left"/>
        <w:rPr>
          <w:rFonts w:ascii="Times New Roman" w:hAnsi="Times New Roman"/>
          <w:sz w:val="20"/>
        </w:rPr>
      </w:pPr>
      <w:r>
        <w:rPr>
          <w:rFonts w:ascii="Times New Roman" w:hAnsi="Times New Roman"/>
          <w:sz w:val="20"/>
        </w:rPr>
        <w:t xml:space="preserve">(h) the Trustee shall not be required to give any bond or surety in respect of the execution of the trusts and powers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 in the absence of written investment direction from the Company, all cash received by the Trustee shall be placed in a non-interest bearing trust account, and in no event shall the Trustee be liable for the selection of investments or for investment losses, fees, taxes or other charges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(j) 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 </w:t>
      </w:r>
    </w:p>
    <w:p>
      <w:pPr>
        <w:pStyle w:val="TextBody"/>
        <w:bidi w:val="0"/>
        <w:spacing w:before="240" w:after="0"/>
        <w:jc w:val="left"/>
        <w:rPr>
          <w:rFonts w:ascii="Times New Roman" w:hAnsi="Times New Roman"/>
          <w:sz w:val="20"/>
        </w:rPr>
      </w:pPr>
      <w:r>
        <w:rPr>
          <w:rFonts w:ascii="Times New Roman" w:hAnsi="Times New Roman"/>
          <w:sz w:val="20"/>
        </w:rPr>
        <w:t xml:space="preserve">None of the provisions contained in this Indenture shall require the Trustee to expend or risk its own funds or otherwise incur personal financial liability in the performance of any of its duties hereunder or in the exercise of any of its rights or powers. Prior to taking any action under this Indenture, the Trustee shall receive indemnification or security satisfactory to it against any loss, liability or expense caused by taking or not taking such action. </w:t>
      </w:r>
    </w:p>
    <w:p>
      <w:pPr>
        <w:pStyle w:val="TextBody"/>
        <w:bidi w:val="0"/>
        <w:spacing w:before="240" w:after="0"/>
        <w:jc w:val="left"/>
        <w:rPr>
          <w:rFonts w:ascii="Times New Roman" w:hAnsi="Times New Roman"/>
          <w:sz w:val="20"/>
        </w:rPr>
      </w:pPr>
      <w:r>
        <w:rPr>
          <w:rFonts w:ascii="Times New Roman" w:hAnsi="Times New Roman"/>
          <w:sz w:val="20"/>
        </w:rPr>
        <w:t>Section 7.02</w:t>
      </w:r>
      <w:r>
        <w:rPr>
          <w:rFonts w:ascii="Times New Roman" w:hAnsi="Times New Roman"/>
          <w:i/>
          <w:sz w:val="20"/>
        </w:rPr>
        <w:t>. Reliance on Documents, Opinions, Etc.</w:t>
      </w:r>
      <w:r>
        <w:rPr>
          <w:rFonts w:ascii="Times New Roman" w:hAnsi="Times New Roman"/>
          <w:sz w:val="20"/>
        </w:rPr>
        <w:t xml:space="preserve"> Except as otherwise provided in Section 7.01: </w:t>
      </w:r>
    </w:p>
    <w:p>
      <w:pPr>
        <w:pStyle w:val="TextBody"/>
        <w:bidi w:val="0"/>
        <w:spacing w:before="120" w:after="0"/>
        <w:jc w:val="left"/>
        <w:rPr>
          <w:rFonts w:ascii="Times New Roman" w:hAnsi="Times New Roman"/>
          <w:sz w:val="20"/>
        </w:rPr>
      </w:pPr>
      <w:r>
        <w:rPr>
          <w:rFonts w:ascii="Times New Roman" w:hAnsi="Times New Roman"/>
          <w:sz w:val="20"/>
        </w:rPr>
        <w:t xml:space="preserve">(a) the Trustee and its agent may conclusively rely and shall be fully protected in acting or refraining from acting upon any resolution, certificate, statement, instrument, opinion, report, notice, request, consent, order, bond, note, coupon or other paper or document believed by it in good faith to be genuine and to have been signed or presented by the proper party or parties; </w:t>
      </w:r>
    </w:p>
    <w:p>
      <w:pPr>
        <w:pStyle w:val="TextBody"/>
        <w:bidi w:val="0"/>
        <w:spacing w:before="240" w:after="0"/>
        <w:jc w:val="left"/>
        <w:rPr>
          <w:rFonts w:ascii="Times New Roman" w:hAnsi="Times New Roman"/>
          <w:sz w:val="20"/>
        </w:rPr>
      </w:pPr>
      <w:r>
        <w:rPr>
          <w:rFonts w:ascii="Times New Roman" w:hAnsi="Times New Roman"/>
          <w:sz w:val="20"/>
        </w:rPr>
        <w:t xml:space="preserve">(b) any request, direction, order or demand of the Company mentioned herein shall be sufficiently evidenced by an Officers’ Certificate (unless other evidence in respect thereof be herein specifically prescribed); any Board Resolution may be evidenced to the Trustee by a copy thereof certified by any Officer of the Company; and the Trustee shall not be liable for any action it takes or omits to take in good faith reliance on such Officers’ Certificate; </w:t>
      </w:r>
    </w:p>
    <w:p>
      <w:pPr>
        <w:pStyle w:val="TextBody"/>
        <w:bidi w:val="0"/>
        <w:spacing w:before="240" w:after="0"/>
        <w:jc w:val="left"/>
        <w:rPr>
          <w:rFonts w:ascii="Times New Roman" w:hAnsi="Times New Roman"/>
          <w:sz w:val="20"/>
        </w:rPr>
      </w:pPr>
      <w:r>
        <w:rPr>
          <w:rFonts w:ascii="Times New Roman" w:hAnsi="Times New Roman"/>
          <w:sz w:val="20"/>
        </w:rPr>
        <w:t xml:space="preserve">(c) whenever in the administration of this Indenture, the Trustee shall deem it desirable that a matter be proved or established prior to taking, suffering or omitting any action hereunder, the Trustee (unless other evidence be herein specifically prescribed) may, in the absence of gross negligence or willful misconduct on its part, conclusively rely upon an Officers’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Trustee may consult with counsel, and require an Opinion of Counsel and any advice of such counsel or Opinion of Counsel shall be full and complete authorization and protection in respect of any action taken or omitted by it hereunder in good faith and in accordance with such advice or Opinion of Counsel; </w:t>
      </w:r>
    </w:p>
    <w:p>
      <w:pPr>
        <w:pStyle w:val="TextBody"/>
        <w:bidi w:val="0"/>
        <w:spacing w:before="240" w:after="0"/>
        <w:jc w:val="left"/>
        <w:rPr>
          <w:rFonts w:ascii="Times New Roman" w:hAnsi="Times New Roman"/>
          <w:sz w:val="20"/>
        </w:rPr>
      </w:pPr>
      <w:r>
        <w:rPr>
          <w:rFonts w:ascii="Times New Roman" w:hAnsi="Times New Roman"/>
          <w:sz w:val="20"/>
        </w:rPr>
        <w:t xml:space="preserve">(e)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expense of the Company and shall incur no liability of any kind by reason of such inquiry or investigation; </w:t>
      </w:r>
    </w:p>
    <w:p>
      <w:pPr>
        <w:pStyle w:val="TextBody"/>
        <w:bidi w:val="0"/>
        <w:spacing w:before="240" w:after="0"/>
        <w:jc w:val="left"/>
        <w:rPr>
          <w:rFonts w:ascii="Times New Roman" w:hAnsi="Times New Roman"/>
          <w:sz w:val="20"/>
        </w:rPr>
      </w:pPr>
      <w:r>
        <w:rPr>
          <w:rFonts w:ascii="Times New Roman" w:hAnsi="Times New Roman"/>
          <w:sz w:val="20"/>
        </w:rPr>
        <w:t xml:space="preserve">(f) 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w:t>
      </w:r>
    </w:p>
    <w:p>
      <w:pPr>
        <w:pStyle w:val="TextBody"/>
        <w:bidi w:val="0"/>
        <w:spacing w:before="240" w:after="0"/>
        <w:jc w:val="left"/>
        <w:rPr>
          <w:rFonts w:ascii="Times New Roman" w:hAnsi="Times New Roman"/>
          <w:sz w:val="20"/>
        </w:rPr>
      </w:pPr>
      <w:r>
        <w:rPr>
          <w:rFonts w:ascii="Times New Roman" w:hAnsi="Times New Roman"/>
          <w:sz w:val="20"/>
        </w:rPr>
        <w:t xml:space="preserve">(g) the permissive rights of the Trustee enumerated herein shall not be construed as duties; </w:t>
      </w:r>
    </w:p>
    <w:p>
      <w:pPr>
        <w:pStyle w:val="TextBody"/>
        <w:bidi w:val="0"/>
        <w:spacing w:before="240" w:after="0"/>
        <w:jc w:val="left"/>
        <w:rPr>
          <w:rFonts w:ascii="Times New Roman" w:hAnsi="Times New Roman"/>
          <w:sz w:val="20"/>
        </w:rPr>
      </w:pPr>
      <w:r>
        <w:rPr>
          <w:rFonts w:ascii="Times New Roman" w:hAnsi="Times New Roman"/>
          <w:sz w:val="20"/>
        </w:rPr>
        <w:t xml:space="preserve">(h) the Trustee may request that the Company deliver an Officers’ Certificate setting forth the names of the individuals and/or titles of officers authorized at such times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240" w:after="0"/>
        <w:jc w:val="left"/>
        <w:rPr>
          <w:rFonts w:ascii="Times New Roman" w:hAnsi="Times New Roman"/>
          <w:sz w:val="20"/>
        </w:rPr>
      </w:pPr>
      <w:r>
        <w:rPr>
          <w:rFonts w:ascii="Times New Roman" w:hAnsi="Times New Roman"/>
          <w:sz w:val="20"/>
        </w:rPr>
        <w:t xml:space="preserve">(i) neither the Trustee nor any of its directors, officers, employees, agents, or affiliates shall be responsible for nor have any duty to monitor the performance or any action of the Company, or its directors, members, officers, agents, affiliates, or employees, nor shall they have any liability in connection with the malfeasance or nonfeasance by such parties, and the Trustee shall not be responsible for any inaccuracy in the information obtained from the Company or for any inaccuracy or omission in the records which may result from such information or any failure by the Trustee to perform its duties as set forth herein as a result of any inaccuracy or incompleteness; </w:t>
      </w:r>
    </w:p>
    <w:p>
      <w:pPr>
        <w:pStyle w:val="TextBody"/>
        <w:bidi w:val="0"/>
        <w:spacing w:before="240" w:after="0"/>
        <w:jc w:val="left"/>
        <w:rPr>
          <w:rFonts w:ascii="Times New Roman" w:hAnsi="Times New Roman"/>
          <w:sz w:val="20"/>
        </w:rPr>
      </w:pPr>
      <w:r>
        <w:rPr>
          <w:rFonts w:ascii="Times New Roman" w:hAnsi="Times New Roman"/>
          <w:sz w:val="20"/>
        </w:rPr>
        <w:t xml:space="preserve">(j) the Trustee shall not be deemed to have notice of any Default or Event of Default (except in the case of a Default or Event of Default in payment of scheduled principal of, or premium, if any, or interest, if any, on, any Note) unless a Responsible Officer of the Trustee has actual knowledge thereof or unless written notice of any event which is in fact such a Default or Event of Default (and stating the occurrence of a Default or Event of Default) is received by the Trustee at the Corporate Trust Office of the Trustee, and such notice references the Notes and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(k) the Trustee shall not be responsible or liable for any action it takes or omits to take in good faith which it reasonably believes to be authorized or within its rights or powers;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Trustee shall not be responsible or liable for any action taken or omitted by it in good faith at the direction of the Holders of not less than a majority in principal amount of the Notes as to the time, method and place of conducting any proceedings for any remedy available to the Trustee or the exercising of any power conferred by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(m)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w:t>
      </w:r>
    </w:p>
    <w:p>
      <w:pPr>
        <w:pStyle w:val="TextBody"/>
        <w:bidi w:val="0"/>
        <w:spacing w:before="240" w:after="0"/>
        <w:jc w:val="left"/>
        <w:rPr>
          <w:rFonts w:ascii="Times New Roman" w:hAnsi="Times New Roman"/>
          <w:sz w:val="20"/>
        </w:rPr>
      </w:pPr>
      <w:r>
        <w:rPr>
          <w:rFonts w:ascii="Times New Roman" w:hAnsi="Times New Roman"/>
          <w:sz w:val="20"/>
        </w:rPr>
        <w:t xml:space="preserve">(n) the Trustee shall not be obligated to take possession of any ADSs, whether upon conversion or in connection with any discharge of this Indenture pursuant to Article 3 hereof, but shall satisfy its obligation as Conversion Agent by working through the ADS Depositary from time to time as directed by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(o) neither the Trustee nor any agent of the Trustee shall have any responsibility or liability for any actions taken or not taken by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In no event shall the Trustee be liable for any special, indirect, punitive or consequential loss or damage of any kind whatsoever (including but not limited to lost profits), even if the Trustee has been advised of the likelihood of such loss or damage and regardless of the form of action.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received by a Responsible Officer of the Trustee at its Corporate Trust Office by the Company or by any Holder of the Notes and such notice references the Notes and this Indenture and states that it is a notice of Default or Event of Default. </w:t>
      </w:r>
    </w:p>
    <w:p>
      <w:pPr>
        <w:pStyle w:val="TextBody"/>
        <w:bidi w:val="0"/>
        <w:spacing w:before="240" w:after="0"/>
        <w:jc w:val="left"/>
        <w:rPr>
          <w:rFonts w:ascii="Times New Roman" w:hAnsi="Times New Roman"/>
          <w:sz w:val="20"/>
        </w:rPr>
      </w:pPr>
      <w:r>
        <w:rPr>
          <w:rFonts w:ascii="Times New Roman" w:hAnsi="Times New Roman"/>
          <w:sz w:val="20"/>
        </w:rPr>
        <w:t>Section 7.03</w:t>
      </w:r>
      <w:r>
        <w:rPr>
          <w:rFonts w:ascii="Times New Roman" w:hAnsi="Times New Roman"/>
          <w:i/>
          <w:sz w:val="20"/>
        </w:rPr>
        <w:t>. No Responsibility for Recitals, Etc.</w:t>
      </w:r>
      <w:r>
        <w:rPr>
          <w:rFonts w:ascii="Times New Roman" w:hAnsi="Times New Roman"/>
          <w:sz w:val="20"/>
        </w:rPr>
        <w:t xml:space="preserve">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Section 7.04</w:t>
      </w:r>
      <w:r>
        <w:rPr>
          <w:rFonts w:ascii="Times New Roman" w:hAnsi="Times New Roman"/>
          <w:i/>
          <w:sz w:val="20"/>
        </w:rPr>
        <w:t>. Trustee, Paying Agents, Conversion Agents, Bid Solicitation Agent or Note Registrar May Own Notes.</w:t>
      </w:r>
      <w:r>
        <w:rPr>
          <w:rFonts w:ascii="Times New Roman" w:hAnsi="Times New Roman"/>
          <w:sz w:val="20"/>
        </w:rPr>
        <w:t xml:space="preserve"> The Trustee, any Paying Agent, any Conversion Agent, Bid Solicitation Agent (if other than the Company or any Affiliate thereof) or Note Registrar, in its individual or any other capacity, may become the owner or pledgee of Notes with the same rights it would have if it were not the Trustee, Paying Agent, Conversion Agent, Bid Solicitation Agent or Note Registrar. The rights, protections and indemnities afforded the Trustee hereunder shall apply to each agent of the Trustee acting hereunder. </w:t>
      </w:r>
    </w:p>
    <w:p>
      <w:pPr>
        <w:pStyle w:val="TextBody"/>
        <w:bidi w:val="0"/>
        <w:spacing w:before="240" w:after="0"/>
        <w:jc w:val="left"/>
        <w:rPr>
          <w:rFonts w:ascii="Times New Roman" w:hAnsi="Times New Roman"/>
          <w:sz w:val="20"/>
        </w:rPr>
      </w:pPr>
      <w:r>
        <w:rPr>
          <w:rFonts w:ascii="Times New Roman" w:hAnsi="Times New Roman"/>
          <w:sz w:val="20"/>
        </w:rPr>
        <w:t>Section 7.05</w:t>
      </w:r>
      <w:r>
        <w:rPr>
          <w:rFonts w:ascii="Times New Roman" w:hAnsi="Times New Roman"/>
          <w:i/>
          <w:sz w:val="20"/>
        </w:rPr>
        <w:t>. Monies and ADSs to Be Held in Trust.</w:t>
      </w:r>
      <w:r>
        <w:rPr>
          <w:rFonts w:ascii="Times New Roman" w:hAnsi="Times New Roman"/>
          <w:sz w:val="20"/>
        </w:rPr>
        <w:t xml:space="preserve"> All monies and ADSs received by the Trustee shall, until used or applied as herein provided, be held in trust for the purposes for which they were received. Money and ADSs held by the Trustee in trust hereunder need not be segregated from other funds except to the extent required by law. The Trustee shall be under no liability for interest on any money or ADSs received by it hereunder except as may be agreed from time to time by the Company and the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7.06</w:t>
      </w:r>
      <w:r>
        <w:rPr>
          <w:rFonts w:ascii="Times New Roman" w:hAnsi="Times New Roman"/>
          <w:i/>
          <w:sz w:val="20"/>
        </w:rPr>
        <w:t>. Compensation and Expenses of Trustee.</w:t>
      </w:r>
      <w:r>
        <w:rPr>
          <w:rFonts w:ascii="Times New Roman" w:hAnsi="Times New Roman"/>
          <w:sz w:val="20"/>
        </w:rPr>
        <w:t xml:space="preserve"> The Company covenants and agrees to pay to the Trustee from time to time, and the Trustee shall be entitled to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as finally adjudicated by a court of competent jurisdiction. The Company also covenants to indemnify the Trustee or any predecessor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as finally adjudicated by a court of competent jurisdiction on the part of the Trustee, its officers, directors, agents or employees, or such agent or authenticating agent, as the case may be, and arising out of or in connection with the acceptance or administration of this Indenture or in any other capacity hereunder, including the costs and expenses of defending themselves against any claim of liability in the premises, except those caused by their own gross negligence or willful misconduct (as finally adjudicated by a court of competent jurisdiction). The obligations of the Company under this Section 7.06 to compensate or indemnify the Trustee and to pay or reimburse the Trustee for expenses, disbursements and advances shall be secured by a senior lien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of the Trustee. The Company need not pay for any settlement made without its consent, which consent shall not be unreasonably withheld. The indemnification provided in this Section 7.06 shall extend to the officers, directors, agents and employees of the Trustee. </w:t>
      </w:r>
    </w:p>
    <w:p>
      <w:pPr>
        <w:pStyle w:val="TextBody"/>
        <w:bidi w:val="0"/>
        <w:spacing w:before="240" w:after="0"/>
        <w:jc w:val="left"/>
        <w:rPr>
          <w:rFonts w:ascii="Times New Roman" w:hAnsi="Times New Roman"/>
          <w:sz w:val="20"/>
        </w:rPr>
      </w:pPr>
      <w:r>
        <w:rPr>
          <w:rFonts w:ascii="Times New Roman" w:hAnsi="Times New Roman"/>
          <w:sz w:val="20"/>
        </w:rPr>
        <w:t xml:space="preserve">Without prejudice to any other rights available to the Trustee under applicable law, when the Trustee and its agents and any authenticating agent incur expenses or render services after an Event of Default specified in Section 6.01(h) or Section 6.01(i) occurs, the expenses and the compensation for the services are intended to constitute expenses of administration under any bankruptcy, insolvency or similar laws. </w:t>
      </w:r>
    </w:p>
    <w:p>
      <w:pPr>
        <w:pStyle w:val="TextBody"/>
        <w:bidi w:val="0"/>
        <w:spacing w:before="240" w:after="0"/>
        <w:jc w:val="left"/>
        <w:rPr>
          <w:rFonts w:ascii="Times New Roman" w:hAnsi="Times New Roman"/>
          <w:sz w:val="20"/>
        </w:rPr>
      </w:pPr>
      <w:r>
        <w:rPr>
          <w:rFonts w:ascii="Times New Roman" w:hAnsi="Times New Roman"/>
          <w:sz w:val="20"/>
        </w:rPr>
        <w:t>Section 7.07</w:t>
      </w:r>
      <w:r>
        <w:rPr>
          <w:rFonts w:ascii="Times New Roman" w:hAnsi="Times New Roman"/>
          <w:i/>
          <w:sz w:val="20"/>
        </w:rPr>
        <w:t>. Officers</w:t>
      </w:r>
      <w:r>
        <w:rPr>
          <w:rFonts w:ascii="Times New Roman" w:hAnsi="Times New Roman"/>
          <w:sz w:val="20"/>
        </w:rPr>
        <w:t xml:space="preserve">’ </w:t>
      </w:r>
      <w:r>
        <w:rPr>
          <w:rFonts w:ascii="Times New Roman" w:hAnsi="Times New Roman"/>
          <w:i/>
          <w:sz w:val="20"/>
        </w:rPr>
        <w:t xml:space="preserve">Certificate as Evidence. </w:t>
      </w:r>
      <w:r>
        <w:rPr>
          <w:rFonts w:ascii="Times New Roman" w:hAnsi="Times New Roman"/>
          <w:sz w:val="20"/>
        </w:rPr>
        <w:t xml:space="preserve">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 </w:t>
      </w:r>
    </w:p>
    <w:p>
      <w:pPr>
        <w:pStyle w:val="TextBody"/>
        <w:bidi w:val="0"/>
        <w:spacing w:before="240" w:after="0"/>
        <w:jc w:val="left"/>
        <w:rPr>
          <w:rFonts w:ascii="Times New Roman" w:hAnsi="Times New Roman"/>
          <w:sz w:val="20"/>
        </w:rPr>
      </w:pPr>
      <w:r>
        <w:rPr>
          <w:rFonts w:ascii="Times New Roman" w:hAnsi="Times New Roman"/>
          <w:sz w:val="20"/>
        </w:rPr>
        <w:t>Section 7.08</w:t>
      </w:r>
      <w:r>
        <w:rPr>
          <w:rFonts w:ascii="Times New Roman" w:hAnsi="Times New Roman"/>
          <w:i/>
          <w:sz w:val="20"/>
        </w:rPr>
        <w:t>. Eligibility of Trustee.</w:t>
      </w:r>
      <w:r>
        <w:rPr>
          <w:rFonts w:ascii="Times New Roman" w:hAnsi="Times New Roman"/>
          <w:sz w:val="20"/>
        </w:rPr>
        <w:t xml:space="preserve"> There shall at all times be a Trustee hereunder which shall be a Person that is eligible pursuant to the Trust Indenture Act (as if the Trust Indenture Act were applicable hereto) to act as such and has a combined capital and surplus of at least $50,000,000. If such Person publishes reports of condition at least annually, pursuant to law or to the requirements of any supervising or examining authority, then for the purposes of this Section 7.08, the combined capital and surplus of such Person shall be deemed to be its combined capital and surplus as set forth in its most recent report of condition so published. If at any time the Trustee shall cease to be eligible in accordance with the provisions of this Section 7.08, it shall resign immediately in the manner and with the effect hereinafter specified in this Article 7. </w:t>
      </w:r>
    </w:p>
    <w:p>
      <w:pPr>
        <w:pStyle w:val="TextBody"/>
        <w:bidi w:val="0"/>
        <w:spacing w:before="240" w:after="0"/>
        <w:jc w:val="left"/>
        <w:rPr>
          <w:rFonts w:ascii="Times New Roman" w:hAnsi="Times New Roman"/>
          <w:sz w:val="20"/>
        </w:rPr>
      </w:pPr>
      <w:r>
        <w:rPr>
          <w:rFonts w:ascii="Times New Roman" w:hAnsi="Times New Roman"/>
          <w:sz w:val="20"/>
        </w:rPr>
        <w:t>Section 7.09</w:t>
      </w:r>
      <w:r>
        <w:rPr>
          <w:rFonts w:ascii="Times New Roman" w:hAnsi="Times New Roman"/>
          <w:i/>
          <w:sz w:val="20"/>
        </w:rPr>
        <w:t>. Resignation or Removal of Trustee.</w:t>
      </w:r>
      <w:r>
        <w:rPr>
          <w:rFonts w:ascii="Times New Roman" w:hAnsi="Times New Roman"/>
          <w:sz w:val="20"/>
        </w:rPr>
        <w:t xml:space="preserve"> (a) The Trustee may at any time resign by giving written notice of such resignation to the Company and by delivering notice thereof to the Holders.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60 days after the giving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(or since the date of this Indenture) may, subject to the provisions of Section 6.11, on behalf of himself or herself and all others similarly situated, petition any such court for the appointment of a successor trustee. Such court may thereupon, after such notice, if any, as it may deem proper and prescribe,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any of the following shall occur: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cease to be eligible in accordance with the provisions of Section 7.08 and shall fail to resign after written request therefor by the Company or by any such Holder,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(or since the date of this Indenture) may, on behalf of himself or herself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(c) The Holders of a majority in aggregate principal amount of the Notes at the time outstanding, as determined in accordance with Section 8.04, may, upon 30 days’ written notice to Trustee, remove the Trustee and nominate a successor trustee that shall be deemed appointed as successor trustee unless within ten days after notice to the Company of such nomination the Company objects thereto (and no Event of Default shall have occurred and be continuing), in which case the Trustee so removed or any Holder, upon the terms and conditions and otherwise as in Section 7.09(a) provided, may petition any court of competent jurisdiction for an appointment of a successor trustee at the cost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Any resignation or removal of the Trustee and appointment of a successor trustee pursuant to any of the provisions of this Section 7.09 shall become effective upon acceptance of appointment by the successor trustee as provided in Section 7.10. </w:t>
      </w:r>
    </w:p>
    <w:p>
      <w:pPr>
        <w:pStyle w:val="TextBody"/>
        <w:bidi w:val="0"/>
        <w:spacing w:before="240" w:after="0"/>
        <w:jc w:val="left"/>
        <w:rPr>
          <w:rFonts w:ascii="Times New Roman" w:hAnsi="Times New Roman"/>
          <w:sz w:val="20"/>
        </w:rPr>
      </w:pPr>
      <w:r>
        <w:rPr>
          <w:rFonts w:ascii="Times New Roman" w:hAnsi="Times New Roman"/>
          <w:sz w:val="20"/>
        </w:rPr>
        <w:t>Section 7.10</w:t>
      </w:r>
      <w:r>
        <w:rPr>
          <w:rFonts w:ascii="Times New Roman" w:hAnsi="Times New Roman"/>
          <w:i/>
          <w:sz w:val="20"/>
        </w:rPr>
        <w:t>. Acceptance by Successor Trustee.</w:t>
      </w:r>
      <w:r>
        <w:rPr>
          <w:rFonts w:ascii="Times New Roman" w:hAnsi="Times New Roman"/>
          <w:sz w:val="20"/>
        </w:rPr>
        <w:t xml:space="preserve">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lien to which the Notes are hereby made subordinate on all money or property held or collected by such trustee as such, except for funds held in trust for the benefit of Holders of particular Notes, to secure any amounts then due it pursuant to the provisions of Section 7.06. </w:t>
      </w:r>
    </w:p>
    <w:p>
      <w:pPr>
        <w:pStyle w:val="TextBody"/>
        <w:bidi w:val="0"/>
        <w:spacing w:before="240" w:after="0"/>
        <w:jc w:val="left"/>
        <w:rPr>
          <w:rFonts w:ascii="Times New Roman" w:hAnsi="Times New Roman"/>
          <w:sz w:val="20"/>
        </w:rPr>
      </w:pPr>
      <w:r>
        <w:rPr>
          <w:rFonts w:ascii="Times New Roman" w:hAnsi="Times New Roman"/>
          <w:sz w:val="20"/>
        </w:rPr>
        <w:t xml:space="preserve">No successor trustee shall accept appointment as provided in this Section 7.10 unless at the time of such acceptance such successor trustee shall be eligible under the provisions of Section 7.08. </w:t>
      </w:r>
    </w:p>
    <w:p>
      <w:pPr>
        <w:pStyle w:val="TextBody"/>
        <w:bidi w:val="0"/>
        <w:spacing w:before="240" w:after="0"/>
        <w:jc w:val="left"/>
        <w:rPr>
          <w:rFonts w:ascii="Times New Roman" w:hAnsi="Times New Roman"/>
          <w:sz w:val="20"/>
        </w:rPr>
      </w:pPr>
      <w:r>
        <w:rPr>
          <w:rFonts w:ascii="Times New Roman" w:hAnsi="Times New Roman"/>
          <w:sz w:val="20"/>
        </w:rPr>
        <w:t xml:space="preserve">Upon acceptance of appointment by a successor trustee as provided in this Section 7.10, each of the Company and the successor trustee, at the written direction and at the expense of the Company shall deliver or cause to be delivered notice of the succession of such trustee hereunder to the Holders. If the Company fails to deliver such notice within ten days after acceptance of appointment by the successor trustee, the successor trustee shall cause such notice to be delivered at the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7.11</w:t>
      </w:r>
      <w:r>
        <w:rPr>
          <w:rFonts w:ascii="Times New Roman" w:hAnsi="Times New Roman"/>
          <w:i/>
          <w:sz w:val="20"/>
        </w:rPr>
        <w:t>. Succession by Merger, Etc.</w:t>
      </w:r>
      <w:r>
        <w:rPr>
          <w:rFonts w:ascii="Times New Roman" w:hAnsi="Times New Roman"/>
          <w:sz w:val="20"/>
        </w:rPr>
        <w:t xml:space="preserve"> Any corporation or other entity into which the Trustee may be merged or converted or with which it may be consolidated, or any corporation or other entity resulting from any merger, conversion or consolidation to which 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w:t>
      </w:r>
      <w:r>
        <w:rPr>
          <w:rFonts w:ascii="Times New Roman" w:hAnsi="Times New Roman"/>
          <w:i/>
          <w:sz w:val="20"/>
        </w:rPr>
        <w:t>provided</w:t>
      </w:r>
      <w:r>
        <w:rPr>
          <w:rFonts w:ascii="Times New Roman" w:hAnsi="Times New Roman"/>
          <w:sz w:val="20"/>
        </w:rPr>
        <w:t xml:space="preserve"> that in the case of any corporation or other entity succeeding to all or substantially all of the corporate trust business of the Trustee such corporation or other entity shall be eligible under the provisions of Section 7.08. </w:t>
      </w:r>
    </w:p>
    <w:p>
      <w:pPr>
        <w:pStyle w:val="TextBody"/>
        <w:bidi w:val="0"/>
        <w:spacing w:before="240" w:after="0"/>
        <w:jc w:val="left"/>
        <w:rPr>
          <w:rFonts w:ascii="Times New Roman" w:hAnsi="Times New Roman"/>
          <w:sz w:val="20"/>
        </w:rPr>
      </w:pPr>
      <w:r>
        <w:rPr>
          <w:rFonts w:ascii="Times New Roman" w:hAnsi="Times New Roman"/>
          <w:sz w:val="20"/>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to adopt the certificate of authentication of any predecessor trustee or to authenticate Notes in the name of any predecessor trustee shall apply only to its successor or successors by merger, conversion or consolidation. </w:t>
      </w:r>
    </w:p>
    <w:p>
      <w:pPr>
        <w:pStyle w:val="TextBody"/>
        <w:bidi w:val="0"/>
        <w:spacing w:before="240" w:after="0"/>
        <w:jc w:val="left"/>
        <w:rPr>
          <w:rFonts w:ascii="Times New Roman" w:hAnsi="Times New Roman"/>
          <w:sz w:val="20"/>
        </w:rPr>
      </w:pPr>
      <w:r>
        <w:rPr>
          <w:rFonts w:ascii="Times New Roman" w:hAnsi="Times New Roman"/>
          <w:sz w:val="20"/>
        </w:rPr>
        <w:t>Section 7.12</w:t>
      </w:r>
      <w:r>
        <w:rPr>
          <w:rFonts w:ascii="Times New Roman" w:hAnsi="Times New Roman"/>
          <w:i/>
          <w:sz w:val="20"/>
        </w:rPr>
        <w:t>. Trustee</w:t>
      </w:r>
      <w:r>
        <w:rPr>
          <w:rFonts w:ascii="Times New Roman" w:hAnsi="Times New Roman"/>
          <w:sz w:val="20"/>
        </w:rPr>
        <w:t>’</w:t>
      </w:r>
      <w:r>
        <w:rPr>
          <w:rFonts w:ascii="Times New Roman" w:hAnsi="Times New Roman"/>
          <w:i/>
          <w:sz w:val="20"/>
        </w:rPr>
        <w:t>s Application for Instructions from the Company.</w:t>
      </w:r>
      <w:r>
        <w:rPr>
          <w:rFonts w:ascii="Times New Roman" w:hAnsi="Times New Roman"/>
          <w:sz w:val="20"/>
        </w:rPr>
        <w:t xml:space="preserve">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to the Company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0" w:after="0"/>
        <w:jc w:val="center"/>
        <w:rPr>
          <w:rFonts w:ascii="Times New Roman" w:hAnsi="Times New Roman"/>
          <w:sz w:val="20"/>
        </w:rPr>
      </w:pPr>
      <w:r>
        <w:rPr>
          <w:rFonts w:ascii="Times New Roman" w:hAnsi="Times New Roman"/>
          <w:sz w:val="20"/>
        </w:rPr>
        <w:t xml:space="preserve">CONCERNING THE HOLDERS </w:t>
      </w:r>
    </w:p>
    <w:p>
      <w:pPr>
        <w:pStyle w:val="TextBody"/>
        <w:bidi w:val="0"/>
        <w:spacing w:before="240" w:after="0"/>
        <w:jc w:val="left"/>
        <w:rPr>
          <w:rFonts w:ascii="Times New Roman" w:hAnsi="Times New Roman"/>
          <w:sz w:val="20"/>
        </w:rPr>
      </w:pPr>
      <w:r>
        <w:rPr>
          <w:rFonts w:ascii="Times New Roman" w:hAnsi="Times New Roman"/>
          <w:sz w:val="20"/>
        </w:rPr>
        <w:t>Section 8.01</w:t>
      </w:r>
      <w:r>
        <w:rPr>
          <w:rFonts w:ascii="Times New Roman" w:hAnsi="Times New Roman"/>
          <w:i/>
          <w:sz w:val="20"/>
        </w:rPr>
        <w:t>. Action by Holders.</w:t>
      </w:r>
      <w:r>
        <w:rPr>
          <w:rFonts w:ascii="Times New Roman" w:hAnsi="Times New Roman"/>
          <w:sz w:val="20"/>
        </w:rPr>
        <w:t xml:space="preserve"> Whenever in this Indenture it is provided that the Holders of a specified percentage of the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number of instruments of similar tenor executed by Holders in person or by agent or proxy appointed in writing, or (b) by the record of the Holders voting in favor thereof 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 </w:t>
      </w:r>
    </w:p>
    <w:p>
      <w:pPr>
        <w:pStyle w:val="TextBody"/>
        <w:bidi w:val="0"/>
        <w:spacing w:before="240" w:after="0"/>
        <w:jc w:val="left"/>
        <w:rPr>
          <w:rFonts w:ascii="Times New Roman" w:hAnsi="Times New Roman"/>
          <w:sz w:val="20"/>
        </w:rPr>
      </w:pPr>
      <w:r>
        <w:rPr>
          <w:rFonts w:ascii="Times New Roman" w:hAnsi="Times New Roman"/>
          <w:sz w:val="20"/>
        </w:rPr>
        <w:t>Section 8.02</w:t>
      </w:r>
      <w:r>
        <w:rPr>
          <w:rFonts w:ascii="Times New Roman" w:hAnsi="Times New Roman"/>
          <w:i/>
          <w:sz w:val="20"/>
        </w:rPr>
        <w:t>. Proof of Execution by Holders.</w:t>
      </w:r>
      <w:r>
        <w:rPr>
          <w:rFonts w:ascii="Times New Roman" w:hAnsi="Times New Roman"/>
          <w:sz w:val="20"/>
        </w:rPr>
        <w:t xml:space="preserve">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 </w:t>
      </w:r>
    </w:p>
    <w:p>
      <w:pPr>
        <w:pStyle w:val="TextBody"/>
        <w:bidi w:val="0"/>
        <w:spacing w:before="240" w:after="0"/>
        <w:jc w:val="left"/>
        <w:rPr>
          <w:rFonts w:ascii="Times New Roman" w:hAnsi="Times New Roman"/>
          <w:sz w:val="20"/>
        </w:rPr>
      </w:pPr>
      <w:r>
        <w:rPr>
          <w:rFonts w:ascii="Times New Roman" w:hAnsi="Times New Roman"/>
          <w:sz w:val="20"/>
        </w:rPr>
        <w:t>Section 8.03</w:t>
      </w:r>
      <w:r>
        <w:rPr>
          <w:rFonts w:ascii="Times New Roman" w:hAnsi="Times New Roman"/>
          <w:i/>
          <w:sz w:val="20"/>
        </w:rPr>
        <w:t>. Who Are Deemed Absolute Owners.</w:t>
      </w:r>
      <w:r>
        <w:rPr>
          <w:rFonts w:ascii="Times New Roman" w:hAnsi="Times New Roman"/>
          <w:sz w:val="20"/>
        </w:rPr>
        <w:t xml:space="preserve">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(including any Redemption Price, any Optional Repurchase Price and any Fundamental Change Repurchase Price) of and (subject to Section 2.03) accrued and unpaid Special Interest, if any, on such Note, for conversion of such Note and for all other purposes; and neither the Company nor the Trustee nor any Paying Agent nor any Conversion Agent nor any Note Registrar shall be affected by any notice to the contrary. The sole registered holder of a Global Note shall be the Depositary or its nominee. All such payments or deliveries so made to any Holder for the time being, or upon its order, shall be valid, and, to the extent of the sums or ADSs so paid or delivered, effectual to satisfy and discharge the liability for monies payable or shares deliverable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Section 8.04</w:t>
      </w:r>
      <w:r>
        <w:rPr>
          <w:rFonts w:ascii="Times New Roman" w:hAnsi="Times New Roman"/>
          <w:i/>
          <w:sz w:val="20"/>
        </w:rPr>
        <w:t>. Company-Owned Notes Disregarded.</w:t>
      </w:r>
      <w:r>
        <w:rPr>
          <w:rFonts w:ascii="Times New Roman" w:hAnsi="Times New Roman"/>
          <w:sz w:val="20"/>
        </w:rPr>
        <w:t xml:space="preserve"> In determining whether the Holders of the requisite aggregate principal amount of Notes have concurred in any direction, consent, waiver or other action under this Indenture, Notes that are owned by the Company, by any Subsidiary thereof or by any Affiliate of the Company or any Subsidiary thereof shall be disregarded and deemed not to be outstanding for the purpose of any such determination; </w:t>
      </w:r>
      <w:r>
        <w:rPr>
          <w:rFonts w:ascii="Times New Roman" w:hAnsi="Times New Roman"/>
          <w:i/>
          <w:sz w:val="20"/>
        </w:rPr>
        <w:t>provided</w:t>
      </w:r>
      <w:r>
        <w:rPr>
          <w:rFonts w:ascii="Times New Roman" w:hAnsi="Times New Roman"/>
          <w:sz w:val="20"/>
        </w:rPr>
        <w:t xml:space="preserve"> that for the purposes of determining whether the Trustee shall be protected in relying on any such direction, consent, waiver or other action only Notes that a Responsible Officer actually knows are so owned shall be so disregarded. Notes so owned that have been pledged in good faith may be regarded as outstanding for the purposes of this Section 8.04 if the pledgee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establish to the satisfaction of the Trustee the pledgee’s right to so act with respect to such Notes and that the pledgee is not the Company, a Subsidiary thereof or an Affiliate of the Company or a Subsidiary thereof. In the case of a dispute as to such right, any decision by the Trustee taken upon the 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 </w:t>
      </w:r>
    </w:p>
    <w:p>
      <w:pPr>
        <w:pStyle w:val="TextBody"/>
        <w:bidi w:val="0"/>
        <w:spacing w:before="240" w:after="0"/>
        <w:jc w:val="left"/>
        <w:rPr>
          <w:rFonts w:ascii="Times New Roman" w:hAnsi="Times New Roman"/>
          <w:sz w:val="20"/>
        </w:rPr>
      </w:pPr>
      <w:r>
        <w:rPr>
          <w:rFonts w:ascii="Times New Roman" w:hAnsi="Times New Roman"/>
          <w:sz w:val="20"/>
        </w:rPr>
        <w:t>Section 8.05</w:t>
      </w:r>
      <w:r>
        <w:rPr>
          <w:rFonts w:ascii="Times New Roman" w:hAnsi="Times New Roman"/>
          <w:i/>
          <w:sz w:val="20"/>
        </w:rPr>
        <w:t>. Revocation of Consents; Future Holders Bound.</w:t>
      </w:r>
      <w:r>
        <w:rPr>
          <w:rFonts w:ascii="Times New Roman" w:hAnsi="Times New Roman"/>
          <w:sz w:val="20"/>
        </w:rPr>
        <w:t xml:space="preserve"> At any time prior to (but not after) the evidencing to the Trustee, as provided in Section 8.01, of the taking of any action by the Holders of the percentage of the aggregate principal amount of the Notes specified in this Indenture in connection with such action, any Holder of a Note that is shown by the evidence to be included in the Notes the Holders of which have consented to such action may, by filing written notice with the Trustee at its Corporate Trust Office and upon proof of holding as provided in Section 8.02, revoke such action so far as concerns such Note. Except as aforesaid, any such action taken by the Holder of any Note shall be conclusive and binding upon such Holder and upon all future Holders and owners of such Note and of any Notes issued in exchange or substitution therefor or upon registration of transfer thereof, irrespective of whether any notation in regard thereto is made upon such Note or any Note issued in exchange or substitution therefor or upon registration of transfer thereof. </w:t>
      </w:r>
    </w:p>
    <w:p>
      <w:pPr>
        <w:pStyle w:val="TextBody"/>
        <w:bidi w:val="0"/>
        <w:spacing w:before="480" w:after="0"/>
        <w:jc w:val="center"/>
        <w:rPr>
          <w:rFonts w:ascii="Times New Roman" w:hAnsi="Times New Roman"/>
          <w:sz w:val="20"/>
        </w:rPr>
      </w:pPr>
      <w:r>
        <w:rPr>
          <w:rFonts w:ascii="Times New Roman" w:hAnsi="Times New Roman"/>
          <w:sz w:val="20"/>
        </w:rPr>
        <w:t xml:space="preserve">ARTICLE 9 </w:t>
      </w:r>
    </w:p>
    <w:p>
      <w:pPr>
        <w:pStyle w:val="TextBody"/>
        <w:bidi w:val="0"/>
        <w:spacing w:before="0" w:after="0"/>
        <w:jc w:val="center"/>
        <w:rPr>
          <w:rFonts w:ascii="Times New Roman" w:hAnsi="Times New Roman"/>
          <w:sz w:val="20"/>
        </w:rPr>
      </w:pPr>
      <w:r>
        <w:rPr>
          <w:rFonts w:ascii="Times New Roman" w:hAnsi="Times New Roman"/>
          <w:sz w:val="20"/>
        </w:rPr>
        <w:t xml:space="preserve">HOLDERS’ MEETINGS </w:t>
      </w:r>
    </w:p>
    <w:p>
      <w:pPr>
        <w:pStyle w:val="TextBody"/>
        <w:bidi w:val="0"/>
        <w:spacing w:before="240" w:after="0"/>
        <w:jc w:val="left"/>
        <w:rPr>
          <w:rFonts w:ascii="Times New Roman" w:hAnsi="Times New Roman"/>
          <w:sz w:val="20"/>
        </w:rPr>
      </w:pPr>
      <w:r>
        <w:rPr>
          <w:rFonts w:ascii="Times New Roman" w:hAnsi="Times New Roman"/>
          <w:sz w:val="20"/>
        </w:rPr>
        <w:t>Section 9.01</w:t>
      </w:r>
      <w:r>
        <w:rPr>
          <w:rFonts w:ascii="Times New Roman" w:hAnsi="Times New Roman"/>
          <w:i/>
          <w:sz w:val="20"/>
        </w:rPr>
        <w:t>. Purpose of Meetings.</w:t>
      </w:r>
      <w:r>
        <w:rPr>
          <w:rFonts w:ascii="Times New Roman" w:hAnsi="Times New Roman"/>
          <w:sz w:val="20"/>
        </w:rPr>
        <w:t xml:space="preserve"> A meeting of Holders may be called at any time and from time to time pursuant to the provisions of this Article 9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6; </w:t>
      </w:r>
    </w:p>
    <w:p>
      <w:pPr>
        <w:pStyle w:val="TextBody"/>
        <w:bidi w:val="0"/>
        <w:spacing w:before="240" w:after="0"/>
        <w:jc w:val="left"/>
        <w:rPr>
          <w:rFonts w:ascii="Times New Roman" w:hAnsi="Times New Roman"/>
          <w:sz w:val="20"/>
        </w:rPr>
      </w:pPr>
      <w:r>
        <w:rPr>
          <w:rFonts w:ascii="Times New Roman" w:hAnsi="Times New Roman"/>
          <w:sz w:val="20"/>
        </w:rPr>
        <w:t xml:space="preserve">(b) to remove the Trustee and nominate a successor trustee pursuant to the provisions of Article 7; </w:t>
      </w:r>
    </w:p>
    <w:p>
      <w:pPr>
        <w:pStyle w:val="TextBody"/>
        <w:bidi w:val="0"/>
        <w:spacing w:before="240" w:after="0"/>
        <w:jc w:val="left"/>
        <w:rPr>
          <w:rFonts w:ascii="Times New Roman" w:hAnsi="Times New Roman"/>
          <w:sz w:val="20"/>
        </w:rPr>
      </w:pPr>
      <w:r>
        <w:rPr>
          <w:rFonts w:ascii="Times New Roman" w:hAnsi="Times New Roman"/>
          <w:sz w:val="20"/>
        </w:rPr>
        <w:t xml:space="preserve">(c) to consent to the execution of an indenture or indentures supplemental hereto pursuant to the provisions of Section 10.02; or </w:t>
      </w:r>
    </w:p>
    <w:p>
      <w:pPr>
        <w:pStyle w:val="TextBody"/>
        <w:bidi w:val="0"/>
        <w:spacing w:before="240" w:after="0"/>
        <w:jc w:val="left"/>
        <w:rPr>
          <w:rFonts w:ascii="Times New Roman" w:hAnsi="Times New Roman"/>
          <w:sz w:val="20"/>
        </w:rPr>
      </w:pPr>
      <w:r>
        <w:rPr>
          <w:rFonts w:ascii="Times New Roman" w:hAnsi="Times New Roman"/>
          <w:sz w:val="20"/>
        </w:rPr>
        <w:t xml:space="preserve">(d) to take any other action authorized to be taken by or on behalf of the Holders of any specified aggregate principal amount of the Notes under any other provision of this Indenture or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9.02</w:t>
      </w:r>
      <w:r>
        <w:rPr>
          <w:rFonts w:ascii="Times New Roman" w:hAnsi="Times New Roman"/>
          <w:i/>
          <w:sz w:val="20"/>
        </w:rPr>
        <w:t>. Call of Meetings by Trustee.</w:t>
      </w:r>
      <w:r>
        <w:rPr>
          <w:rFonts w:ascii="Times New Roman" w:hAnsi="Times New Roman"/>
          <w:sz w:val="20"/>
        </w:rPr>
        <w:t xml:space="preserve">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8.01, shall be delivered to Holders of such Notes. Such notice shall also be delivered to the Company. Such notices shall be delivered not less than 20 nor more than 90 days prior to the date fixed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Any meeting of Holders shall be valid without notice if the Holders of all Notes then outstanding are present in person or by proxy or if notice is waived before or after the meeting by the Holders of all Notes then outstanding, and if the Company and the Trustee are either present by duly authorized representatives or have, before or after the meeting, waived notice. </w:t>
      </w:r>
    </w:p>
    <w:p>
      <w:pPr>
        <w:pStyle w:val="TextBody"/>
        <w:bidi w:val="0"/>
        <w:spacing w:before="240" w:after="0"/>
        <w:jc w:val="left"/>
        <w:rPr>
          <w:rFonts w:ascii="Times New Roman" w:hAnsi="Times New Roman"/>
          <w:sz w:val="20"/>
        </w:rPr>
      </w:pPr>
      <w:r>
        <w:rPr>
          <w:rFonts w:ascii="Times New Roman" w:hAnsi="Times New Roman"/>
          <w:sz w:val="20"/>
        </w:rPr>
        <w:t>Section 9.03</w:t>
      </w:r>
      <w:r>
        <w:rPr>
          <w:rFonts w:ascii="Times New Roman" w:hAnsi="Times New Roman"/>
          <w:i/>
          <w:sz w:val="20"/>
        </w:rPr>
        <w:t>. Call of Meetings by Company or Holders.</w:t>
      </w:r>
      <w:r>
        <w:rPr>
          <w:rFonts w:ascii="Times New Roman" w:hAnsi="Times New Roman"/>
          <w:sz w:val="20"/>
        </w:rPr>
        <w:t xml:space="preserve"> In case at any time the Company, pursuant to a Board Resolution, or the Holders of at least 10% of the aggregate principal amount of the Notes then outstanding, shall have requested the Trustee to call a meeting of Holders, by written request setting forth in reasonable detail the action proposed to be taken at the meeting, and the Trustee shall not have delivered the notice of such meeting within 20 days after receipt of such request, then the Company or such Holders may determine the time and the place for such meeting and may call such meeting to take any action authorized in Section 9.01, by delivering notice thereof as provided in Section 9.02. </w:t>
      </w:r>
    </w:p>
    <w:p>
      <w:pPr>
        <w:pStyle w:val="TextBody"/>
        <w:bidi w:val="0"/>
        <w:spacing w:before="240" w:after="0"/>
        <w:jc w:val="left"/>
        <w:rPr>
          <w:rFonts w:ascii="Times New Roman" w:hAnsi="Times New Roman"/>
          <w:sz w:val="20"/>
        </w:rPr>
      </w:pPr>
      <w:r>
        <w:rPr>
          <w:rFonts w:ascii="Times New Roman" w:hAnsi="Times New Roman"/>
          <w:sz w:val="20"/>
        </w:rPr>
        <w:t>Section 9.04</w:t>
      </w:r>
      <w:r>
        <w:rPr>
          <w:rFonts w:ascii="Times New Roman" w:hAnsi="Times New Roman"/>
          <w:i/>
          <w:sz w:val="20"/>
        </w:rPr>
        <w:t>. Qualifications for Voting.</w:t>
      </w:r>
      <w:r>
        <w:rPr>
          <w:rFonts w:ascii="Times New Roman" w:hAnsi="Times New Roman"/>
          <w:sz w:val="20"/>
        </w:rPr>
        <w:t xml:space="preserve">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 </w:t>
      </w:r>
    </w:p>
    <w:p>
      <w:pPr>
        <w:pStyle w:val="TextBody"/>
        <w:bidi w:val="0"/>
        <w:spacing w:before="240" w:after="0"/>
        <w:jc w:val="left"/>
        <w:rPr>
          <w:rFonts w:ascii="Times New Roman" w:hAnsi="Times New Roman"/>
          <w:sz w:val="20"/>
        </w:rPr>
      </w:pPr>
      <w:r>
        <w:rPr>
          <w:rFonts w:ascii="Times New Roman" w:hAnsi="Times New Roman"/>
          <w:sz w:val="20"/>
        </w:rPr>
        <w:t>Section 9.05</w:t>
      </w:r>
      <w:r>
        <w:rPr>
          <w:rFonts w:ascii="Times New Roman" w:hAnsi="Times New Roman"/>
          <w:i/>
          <w:sz w:val="20"/>
        </w:rPr>
        <w:t>. Regulations.</w:t>
      </w:r>
      <w:r>
        <w:rPr>
          <w:rFonts w:ascii="Times New Roman" w:hAnsi="Times New Roman"/>
          <w:sz w:val="20"/>
        </w:rPr>
        <w:t xml:space="preserve">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Notes represented at the meeting and entitled to vote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provisions of Section 8.04, at any meeting of Holders each Holder or proxyholder shall be entitled to one vote for each $1,000 principal amount of Notes held or represented by him or her;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no vote shall be cast or counted at any meeting in respect of any Note challenged as not outstanding and ruled by the chairman of the meeting to be not outstanding. 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sz w:val="20"/>
        </w:rPr>
        <w:t>Section 9.06</w:t>
      </w:r>
      <w:r>
        <w:rPr>
          <w:rFonts w:ascii="Times New Roman" w:hAnsi="Times New Roman"/>
          <w:i/>
          <w:sz w:val="20"/>
        </w:rPr>
        <w:t>. Voting.</w:t>
      </w:r>
      <w:r>
        <w:rPr>
          <w:rFonts w:ascii="Times New Roman" w:hAnsi="Times New Roman"/>
          <w:sz w:val="20"/>
        </w:rPr>
        <w:t xml:space="preserve"> The vote upon any resolution submitted to any meeting of Holders shall be by written ballot on which shall be subscribed the signatures of the Holders or of their representatives by proxy and the outstanding aggregate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delivered as provided in Section 9.02. The record shall show the aggregate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Any record so signed and verified shall be conclusive evidence of the matters therein stated. </w:t>
      </w:r>
    </w:p>
    <w:p>
      <w:pPr>
        <w:pStyle w:val="TextBody"/>
        <w:bidi w:val="0"/>
        <w:spacing w:before="240" w:after="0"/>
        <w:jc w:val="left"/>
        <w:rPr>
          <w:rFonts w:ascii="Times New Roman" w:hAnsi="Times New Roman"/>
          <w:sz w:val="20"/>
        </w:rPr>
      </w:pPr>
      <w:r>
        <w:rPr>
          <w:rFonts w:ascii="Times New Roman" w:hAnsi="Times New Roman"/>
          <w:sz w:val="20"/>
        </w:rPr>
        <w:t>Section 9.07</w:t>
      </w:r>
      <w:r>
        <w:rPr>
          <w:rFonts w:ascii="Times New Roman" w:hAnsi="Times New Roman"/>
          <w:i/>
          <w:sz w:val="20"/>
        </w:rPr>
        <w:t>. No Delay of Rights by Meeting.</w:t>
      </w:r>
      <w:r>
        <w:rPr>
          <w:rFonts w:ascii="Times New Roman" w:hAnsi="Times New Roman"/>
          <w:sz w:val="20"/>
        </w:rPr>
        <w:t xml:space="preserve">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0" w:after="0"/>
        <w:jc w:val="center"/>
        <w:rPr>
          <w:rFonts w:ascii="Times New Roman" w:hAnsi="Times New Roman"/>
          <w:sz w:val="20"/>
        </w:rPr>
      </w:pPr>
      <w:r>
        <w:rPr>
          <w:rFonts w:ascii="Times New Roman" w:hAnsi="Times New Roman"/>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Section 10.01</w:t>
      </w:r>
      <w:r>
        <w:rPr>
          <w:rFonts w:ascii="Times New Roman" w:hAnsi="Times New Roman"/>
          <w:i/>
          <w:sz w:val="20"/>
        </w:rPr>
        <w:t>. Supplemental Indentures Without Consent of Holders.</w:t>
      </w:r>
      <w:r>
        <w:rPr>
          <w:rFonts w:ascii="Times New Roman" w:hAnsi="Times New Roman"/>
          <w:sz w:val="20"/>
        </w:rPr>
        <w:t xml:space="preserve"> The Company, when authorized by a Board Resolution, and the Trustee, at the Company’s expense, may from time to time and at any time amend this Indenture or enter into an indenture or indentures supplemental hereto for one or more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(a) to cure any ambiguity, omission, defect or inconsistency; </w:t>
      </w:r>
    </w:p>
    <w:p>
      <w:pPr>
        <w:pStyle w:val="TextBody"/>
        <w:bidi w:val="0"/>
        <w:spacing w:before="240" w:after="0"/>
        <w:jc w:val="left"/>
        <w:rPr>
          <w:rFonts w:ascii="Times New Roman" w:hAnsi="Times New Roman"/>
          <w:sz w:val="20"/>
        </w:rPr>
      </w:pPr>
      <w:r>
        <w:rPr>
          <w:rFonts w:ascii="Times New Roman" w:hAnsi="Times New Roman"/>
          <w:sz w:val="20"/>
        </w:rPr>
        <w:t xml:space="preserve">(b) to provide for the assumption by a Successor Company of the obligations of the Company under this Indenture pursuant to Article 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to add guarantees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(d) to secure the Notes; </w:t>
      </w:r>
    </w:p>
    <w:p>
      <w:pPr>
        <w:pStyle w:val="TextBody"/>
        <w:bidi w:val="0"/>
        <w:spacing w:before="240" w:after="0"/>
        <w:jc w:val="left"/>
        <w:rPr>
          <w:rFonts w:ascii="Times New Roman" w:hAnsi="Times New Roman"/>
          <w:sz w:val="20"/>
        </w:rPr>
      </w:pPr>
      <w:r>
        <w:rPr>
          <w:rFonts w:ascii="Times New Roman" w:hAnsi="Times New Roman"/>
          <w:sz w:val="20"/>
        </w:rPr>
        <w:t xml:space="preserve">(e) to add to the covenants or Events of Default of the Company for the benefit of the Holders or surrender any right or power conferred upon the Company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(f) to make any change that does not adversely affect the rights of any Holder; </w:t>
      </w:r>
    </w:p>
    <w:p>
      <w:pPr>
        <w:pStyle w:val="TextBody"/>
        <w:bidi w:val="0"/>
        <w:spacing w:before="240" w:after="0"/>
        <w:jc w:val="left"/>
        <w:rPr>
          <w:rFonts w:ascii="Times New Roman" w:hAnsi="Times New Roman"/>
          <w:sz w:val="20"/>
        </w:rPr>
      </w:pPr>
      <w:r>
        <w:rPr>
          <w:rFonts w:ascii="Times New Roman" w:hAnsi="Times New Roman"/>
          <w:sz w:val="20"/>
        </w:rPr>
        <w:t xml:space="preserve">(g) to increase the Conversion Rate, as provided in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(h) to provide for the acceptance of appointment by a successor Trustee, Note Registrar, Paying Agent, Bid Solicitation Agent or Conversion Agent or facilitate the administration of the trusts under this Indenture by more than one Trustee; </w:t>
      </w:r>
    </w:p>
    <w:p>
      <w:pPr>
        <w:pStyle w:val="TextBody"/>
        <w:bidi w:val="0"/>
        <w:spacing w:before="240" w:after="0"/>
        <w:jc w:val="left"/>
        <w:rPr>
          <w:rFonts w:ascii="Times New Roman" w:hAnsi="Times New Roman"/>
          <w:sz w:val="20"/>
        </w:rPr>
      </w:pPr>
      <w:r>
        <w:rPr>
          <w:rFonts w:ascii="Times New Roman" w:hAnsi="Times New Roman"/>
          <w:sz w:val="20"/>
        </w:rPr>
        <w:t xml:space="preserve">(i) in connection with any Share Exchange Event, to provide that the Notes are convertible into Reference Property, subject to the provisions of Section 14.02, and make such related changes to the terms of the Notes to the extent expressly required by Section 14.07; </w:t>
      </w:r>
    </w:p>
    <w:p>
      <w:pPr>
        <w:pStyle w:val="TextBody"/>
        <w:bidi w:val="0"/>
        <w:spacing w:before="240" w:after="0"/>
        <w:jc w:val="left"/>
        <w:rPr>
          <w:rFonts w:ascii="Times New Roman" w:hAnsi="Times New Roman"/>
          <w:sz w:val="20"/>
        </w:rPr>
      </w:pPr>
      <w:r>
        <w:rPr>
          <w:rFonts w:ascii="Times New Roman" w:hAnsi="Times New Roman"/>
          <w:sz w:val="20"/>
        </w:rPr>
        <w:t xml:space="preserve">(j) to conform the provisions of this Indenture or the Notes to the “Description of Notes” section of the Offering Memorandum; </w:t>
      </w:r>
    </w:p>
    <w:p>
      <w:pPr>
        <w:pStyle w:val="TextBody"/>
        <w:bidi w:val="0"/>
        <w:spacing w:before="240" w:after="0"/>
        <w:jc w:val="left"/>
        <w:rPr>
          <w:rFonts w:ascii="Times New Roman" w:hAnsi="Times New Roman"/>
          <w:sz w:val="20"/>
        </w:rPr>
      </w:pPr>
      <w:r>
        <w:rPr>
          <w:rFonts w:ascii="Times New Roman" w:hAnsi="Times New Roman"/>
          <w:sz w:val="20"/>
        </w:rPr>
        <w:t xml:space="preserve">(k) to provide for or confirm the issuance of additional Notes pursuant to this Indenture; or </w:t>
      </w:r>
    </w:p>
    <w:p>
      <w:pPr>
        <w:pStyle w:val="TextBody"/>
        <w:bidi w:val="0"/>
        <w:spacing w:before="240" w:after="0"/>
        <w:jc w:val="left"/>
        <w:rPr>
          <w:rFonts w:ascii="Times New Roman" w:hAnsi="Times New Roman"/>
          <w:sz w:val="20"/>
        </w:rPr>
      </w:pPr>
      <w:r>
        <w:rPr>
          <w:rFonts w:ascii="Times New Roman" w:hAnsi="Times New Roman"/>
          <w:sz w:val="20"/>
        </w:rPr>
        <w:t xml:space="preserve">(l) to comply with the rules of the Depositary, so long as such amendment does not adversely affect the rights of any Holder in any material respect.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the Trustee is hereby authorized to join with the Company in the execution of any such supplemental indenture and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 xml:space="preserve">Any supplemental indenture authorized by the provisions of this Section 10.01 may be executed by the Company and the Trustee without the consent of the Holders of any of the Notes at the time outstanding, notwithstanding any of the provisions of Section 10.02. </w:t>
      </w:r>
    </w:p>
    <w:p>
      <w:pPr>
        <w:pStyle w:val="TextBody"/>
        <w:bidi w:val="0"/>
        <w:spacing w:before="240" w:after="0"/>
        <w:jc w:val="left"/>
        <w:rPr>
          <w:rFonts w:ascii="Times New Roman" w:hAnsi="Times New Roman"/>
          <w:sz w:val="20"/>
        </w:rPr>
      </w:pPr>
      <w:r>
        <w:rPr>
          <w:rFonts w:ascii="Times New Roman" w:hAnsi="Times New Roman"/>
          <w:sz w:val="20"/>
        </w:rPr>
        <w:t>Section 10.02</w:t>
      </w:r>
      <w:r>
        <w:rPr>
          <w:rFonts w:ascii="Times New Roman" w:hAnsi="Times New Roman"/>
          <w:i/>
          <w:sz w:val="20"/>
        </w:rPr>
        <w:t>. Supplemental Indentures with Consent of Holders.</w:t>
      </w:r>
      <w:r>
        <w:rPr>
          <w:rFonts w:ascii="Times New Roman" w:hAnsi="Times New Roman"/>
          <w:sz w:val="20"/>
        </w:rPr>
        <w:t xml:space="preserve"> With the consent (evidenced as provided in Article 8) of the Holders of at least a majority of the aggregate principal amount of the Notes then outstanding (determined in accordance with Article 8 and including, without limitation, consents obtained in connection with a repurchase of, or tender or exchange offer for, Notes), the Company, when authorized by a Board Resolution, and the Trustee, at the Company’s expense, may from time to time and at any time amend this Indenture or enter into an indenture or indentures supplemental hereto for the purpose of adding any provisions to or changing in any manner or eliminating any of the provisions of this Indenture or any supplemental indenture or of modifying in any manner the rights of the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without the consent of each Holder of an outstanding Note affected, no such amendment or supplemental indenture shall: </w:t>
      </w:r>
    </w:p>
    <w:p>
      <w:pPr>
        <w:pStyle w:val="TextBody"/>
        <w:bidi w:val="0"/>
        <w:spacing w:before="120" w:after="0"/>
        <w:jc w:val="left"/>
        <w:rPr>
          <w:rFonts w:ascii="Times New Roman" w:hAnsi="Times New Roman"/>
          <w:sz w:val="20"/>
        </w:rPr>
      </w:pPr>
      <w:r>
        <w:rPr>
          <w:rFonts w:ascii="Times New Roman" w:hAnsi="Times New Roman"/>
          <w:sz w:val="20"/>
        </w:rPr>
        <w:t xml:space="preserve">(a) reduce the principal amount of Notes whose Holders must consent to an amendment, supplement or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reduce the rate of or extend the stated time for payment of any interest on any Note; </w:t>
      </w:r>
    </w:p>
    <w:p>
      <w:pPr>
        <w:pStyle w:val="TextBody"/>
        <w:bidi w:val="0"/>
        <w:spacing w:before="240" w:after="0"/>
        <w:jc w:val="left"/>
        <w:rPr>
          <w:rFonts w:ascii="Times New Roman" w:hAnsi="Times New Roman"/>
          <w:sz w:val="20"/>
        </w:rPr>
      </w:pPr>
      <w:r>
        <w:rPr>
          <w:rFonts w:ascii="Times New Roman" w:hAnsi="Times New Roman"/>
          <w:sz w:val="20"/>
        </w:rPr>
        <w:t xml:space="preserve">(c) reduce the principal of or extend the Maturity Date of any Note; </w:t>
      </w:r>
    </w:p>
    <w:p>
      <w:pPr>
        <w:pStyle w:val="TextBody"/>
        <w:bidi w:val="0"/>
        <w:spacing w:before="240" w:after="0"/>
        <w:jc w:val="left"/>
        <w:rPr>
          <w:rFonts w:ascii="Times New Roman" w:hAnsi="Times New Roman"/>
          <w:sz w:val="20"/>
        </w:rPr>
      </w:pPr>
      <w:r>
        <w:rPr>
          <w:rFonts w:ascii="Times New Roman" w:hAnsi="Times New Roman"/>
          <w:sz w:val="20"/>
        </w:rPr>
        <w:t xml:space="preserve">(d) except as required by this Indenture, make any change that adversely affects the conversion rights of any Notes; </w:t>
      </w:r>
    </w:p>
    <w:p>
      <w:pPr>
        <w:pStyle w:val="TextBody"/>
        <w:bidi w:val="0"/>
        <w:spacing w:before="240" w:after="0"/>
        <w:jc w:val="left"/>
        <w:rPr>
          <w:rFonts w:ascii="Times New Roman" w:hAnsi="Times New Roman"/>
          <w:sz w:val="20"/>
        </w:rPr>
      </w:pPr>
      <w:r>
        <w:rPr>
          <w:rFonts w:ascii="Times New Roman" w:hAnsi="Times New Roman"/>
          <w:sz w:val="20"/>
        </w:rPr>
        <w:t xml:space="preserve">(e) reduce the Redemption Price, the Optional Repurchase Price or the Fundamental Change Repurchase Price of any Note or amend or modify in any manner adverse to the Holders the Company’s obligation to make such payments, whether through an amendment or waiver of provisions in the covenants, definitions or otherwise; </w:t>
      </w:r>
    </w:p>
    <w:p>
      <w:pPr>
        <w:pStyle w:val="TextBody"/>
        <w:bidi w:val="0"/>
        <w:spacing w:before="240" w:after="0"/>
        <w:jc w:val="left"/>
        <w:rPr>
          <w:rFonts w:ascii="Times New Roman" w:hAnsi="Times New Roman"/>
          <w:sz w:val="20"/>
        </w:rPr>
      </w:pPr>
      <w:r>
        <w:rPr>
          <w:rFonts w:ascii="Times New Roman" w:hAnsi="Times New Roman"/>
          <w:sz w:val="20"/>
        </w:rPr>
        <w:t xml:space="preserve">(f) make any Note payable in a currency, or at a place of payment, other than that stated in the Note; </w:t>
      </w:r>
    </w:p>
    <w:p>
      <w:pPr>
        <w:pStyle w:val="TextBody"/>
        <w:bidi w:val="0"/>
        <w:spacing w:before="240" w:after="0"/>
        <w:jc w:val="left"/>
        <w:rPr>
          <w:rFonts w:ascii="Times New Roman" w:hAnsi="Times New Roman"/>
          <w:sz w:val="20"/>
        </w:rPr>
      </w:pPr>
      <w:r>
        <w:rPr>
          <w:rFonts w:ascii="Times New Roman" w:hAnsi="Times New Roman"/>
          <w:sz w:val="20"/>
        </w:rPr>
        <w:t xml:space="preserve">(g) modify the ranking of the Notes in a manner adverse to the rights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(h) impair the right of any Holder to receive payment of principal of, or any Special Interest on, such Holder’s Notes on or after the due dates therefor or to institute suit for the enforcement of any payment on or after such respective due dates; </w:t>
      </w:r>
    </w:p>
    <w:p>
      <w:pPr>
        <w:pStyle w:val="TextBody"/>
        <w:bidi w:val="0"/>
        <w:spacing w:before="240" w:after="0"/>
        <w:jc w:val="left"/>
        <w:rPr>
          <w:rFonts w:ascii="Times New Roman" w:hAnsi="Times New Roman"/>
          <w:sz w:val="20"/>
        </w:rPr>
      </w:pPr>
      <w:r>
        <w:rPr>
          <w:rFonts w:ascii="Times New Roman" w:hAnsi="Times New Roman"/>
          <w:sz w:val="20"/>
        </w:rPr>
        <w:t xml:space="preserve">(i) make any change in this Article 10 that requires each Holder’s consent or in the waiver provisions in Section 6.02 or Section 6.09; or </w:t>
      </w:r>
    </w:p>
    <w:p>
      <w:pPr>
        <w:pStyle w:val="TextBody"/>
        <w:bidi w:val="0"/>
        <w:spacing w:before="240" w:after="0"/>
        <w:jc w:val="left"/>
        <w:rPr>
          <w:rFonts w:ascii="Times New Roman" w:hAnsi="Times New Roman"/>
          <w:sz w:val="20"/>
        </w:rPr>
      </w:pPr>
      <w:r>
        <w:rPr>
          <w:rFonts w:ascii="Times New Roman" w:hAnsi="Times New Roman"/>
          <w:sz w:val="20"/>
        </w:rPr>
        <w:t xml:space="preserve">(j) change the Company’s obligation to pay any Additional Amounts in respect of any Note in a manner adverse to Holders. </w:t>
      </w:r>
    </w:p>
    <w:p>
      <w:pPr>
        <w:pStyle w:val="TextBody"/>
        <w:bidi w:val="0"/>
        <w:spacing w:before="240" w:after="0"/>
        <w:jc w:val="left"/>
        <w:rPr>
          <w:rFonts w:ascii="Times New Roman" w:hAnsi="Times New Roman"/>
          <w:sz w:val="20"/>
        </w:rPr>
      </w:pPr>
      <w:r>
        <w:rPr>
          <w:rFonts w:ascii="Times New Roman" w:hAnsi="Times New Roman"/>
          <w:sz w:val="20"/>
        </w:rPr>
        <w:t xml:space="preserve">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Holders do not need under this Section 10.02 to approve the particular form of any proposed supplemental indenture. It shall be sufficient if such Holders approve the substance thereof. After any such amendment or supplemental indenture becomes effective, the Company shall deliver to the Holders a notice briefly describing such supplemental indenture. However, the failure to give such notice to all the Holders, or any defect in the notice, will not impair or affect the validity of the supplemental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10.03</w:t>
      </w:r>
      <w:r>
        <w:rPr>
          <w:rFonts w:ascii="Times New Roman" w:hAnsi="Times New Roman"/>
          <w:i/>
          <w:sz w:val="20"/>
        </w:rPr>
        <w:t>. Effect of Supplemental Indentures.</w:t>
      </w:r>
      <w:r>
        <w:rPr>
          <w:rFonts w:ascii="Times New Roman" w:hAnsi="Times New Roman"/>
          <w:sz w:val="20"/>
        </w:rPr>
        <w:t xml:space="preserve"> Upon the execution of any supplemental indenture pursuant to the provisions of this Article 10, this Indenture shall be and be deemed to be modified and amended in accordance therewith and the respective rights, limitation of rights, obligations, duties, indemnities, privileges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 </w:t>
      </w:r>
    </w:p>
    <w:p>
      <w:pPr>
        <w:pStyle w:val="TextBody"/>
        <w:bidi w:val="0"/>
        <w:spacing w:before="240" w:after="0"/>
        <w:jc w:val="left"/>
        <w:rPr>
          <w:rFonts w:ascii="Times New Roman" w:hAnsi="Times New Roman"/>
          <w:sz w:val="20"/>
        </w:rPr>
      </w:pPr>
      <w:r>
        <w:rPr>
          <w:rFonts w:ascii="Times New Roman" w:hAnsi="Times New Roman"/>
          <w:sz w:val="20"/>
        </w:rPr>
        <w:t>Section 10.04</w:t>
      </w:r>
      <w:r>
        <w:rPr>
          <w:rFonts w:ascii="Times New Roman" w:hAnsi="Times New Roman"/>
          <w:i/>
          <w:sz w:val="20"/>
        </w:rPr>
        <w:t>. Notation on Notes.</w:t>
      </w:r>
      <w:r>
        <w:rPr>
          <w:rFonts w:ascii="Times New Roman" w:hAnsi="Times New Roman"/>
          <w:sz w:val="20"/>
        </w:rPr>
        <w:t xml:space="preserve"> Notes authenticated and delivered after the execution of any supplemental indenture pursuant to the provisions of this Article 10 may, at the Company’s expense, bear a notation in form reasonably acceptable to the Company and the Trustee as to any matter provided for in such supplemental indenture. If the Company or the Trustee shall so determine, new Notes so modified as to conform, in the opinion of the Trustee and the Company, to any modification of this Indenture contained in any such supplemental indenture may, at the Company’s expense, be prepared and executed by the Company, authenticated by the Trustee (or an authenticating agent duly appointed by the Trustee pursuant to Section 17.10) and delivered in exchange for the Notes then outstanding, upon surrender of such Notes then outstanding. </w:t>
      </w:r>
    </w:p>
    <w:p>
      <w:pPr>
        <w:pStyle w:val="TextBody"/>
        <w:bidi w:val="0"/>
        <w:spacing w:before="240" w:after="0"/>
        <w:jc w:val="left"/>
        <w:rPr>
          <w:rFonts w:ascii="Times New Roman" w:hAnsi="Times New Roman"/>
          <w:sz w:val="20"/>
        </w:rPr>
      </w:pPr>
      <w:r>
        <w:rPr>
          <w:rFonts w:ascii="Times New Roman" w:hAnsi="Times New Roman"/>
          <w:sz w:val="20"/>
        </w:rPr>
        <w:t>Section 10.05</w:t>
      </w:r>
      <w:r>
        <w:rPr>
          <w:rFonts w:ascii="Times New Roman" w:hAnsi="Times New Roman"/>
          <w:i/>
          <w:sz w:val="20"/>
        </w:rPr>
        <w:t>. Evidence of Compliance of Supplemental Indenture to Be Furnished Trustee.</w:t>
      </w:r>
      <w:r>
        <w:rPr>
          <w:rFonts w:ascii="Times New Roman" w:hAnsi="Times New Roman"/>
          <w:sz w:val="20"/>
        </w:rPr>
        <w:t xml:space="preserve"> In addition to the documents required by Section 17.05, the Trustee shall receive an Officers’ Certificate and an Opinion of Counsel as conclusive evidence that any supplemental indenture executed pursuant hereto complies with the requirements of this Article 10 and is permitted or authorized by this Indenture, such Opinion of Counsel stating that such supplemental indenture is a valid and binding obligation of the Company, enforceable against the Company in accordance with its terms, subject to customary qualifications and exceptions.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0" w:after="0"/>
        <w:jc w:val="center"/>
        <w:rPr>
          <w:rFonts w:ascii="Times New Roman" w:hAnsi="Times New Roman"/>
          <w:sz w:val="20"/>
        </w:rPr>
      </w:pPr>
      <w:r>
        <w:rPr>
          <w:rFonts w:ascii="Times New Roman" w:hAnsi="Times New Roman"/>
          <w:sz w:val="20"/>
        </w:rPr>
        <w:t xml:space="preserve">CONSOLIDATION, MERGER, SALE, CONVEYANCE AND LEASE </w:t>
      </w:r>
    </w:p>
    <w:p>
      <w:pPr>
        <w:pStyle w:val="TextBody"/>
        <w:bidi w:val="0"/>
        <w:spacing w:before="240" w:after="0"/>
        <w:jc w:val="left"/>
        <w:rPr>
          <w:rFonts w:ascii="Times New Roman" w:hAnsi="Times New Roman"/>
          <w:sz w:val="20"/>
        </w:rPr>
      </w:pPr>
      <w:r>
        <w:rPr>
          <w:rFonts w:ascii="Times New Roman" w:hAnsi="Times New Roman"/>
          <w:sz w:val="20"/>
        </w:rPr>
        <w:t>Section 11.01</w:t>
      </w:r>
      <w:r>
        <w:rPr>
          <w:rFonts w:ascii="Times New Roman" w:hAnsi="Times New Roman"/>
          <w:i/>
          <w:sz w:val="20"/>
        </w:rPr>
        <w:t>. Company May Consolidate, Etc. on Certain Terms.</w:t>
      </w:r>
      <w:r>
        <w:rPr>
          <w:rFonts w:ascii="Times New Roman" w:hAnsi="Times New Roman"/>
          <w:sz w:val="20"/>
        </w:rPr>
        <w:t xml:space="preserve"> Subject to the provisions of Section 11.02, the Company shall not consolidate with, merge with or into, or sell, convey, transfer or lease all or substantially all of its properties and assets to another Person, unless: </w:t>
      </w:r>
    </w:p>
    <w:p>
      <w:pPr>
        <w:pStyle w:val="TextBody"/>
        <w:bidi w:val="0"/>
        <w:spacing w:before="120" w:after="0"/>
        <w:jc w:val="left"/>
        <w:rPr>
          <w:rFonts w:ascii="Times New Roman" w:hAnsi="Times New Roman"/>
          <w:sz w:val="20"/>
        </w:rPr>
      </w:pPr>
      <w:r>
        <w:rPr>
          <w:rFonts w:ascii="Times New Roman" w:hAnsi="Times New Roman"/>
          <w:sz w:val="20"/>
        </w:rPr>
        <w:t>(a) the resulting, surviving or transferee Person (the “</w:t>
      </w:r>
      <w:r>
        <w:rPr>
          <w:rFonts w:ascii="Times New Roman" w:hAnsi="Times New Roman"/>
          <w:b/>
          <w:sz w:val="20"/>
        </w:rPr>
        <w:t>Successor Company</w:t>
      </w:r>
      <w:r>
        <w:rPr>
          <w:rFonts w:ascii="Times New Roman" w:hAnsi="Times New Roman"/>
          <w:sz w:val="20"/>
        </w:rPr>
        <w:t xml:space="preserve">”), if not the Company, shall be a corporation organized and existing under the laws of the Cayman Islands, the United States of America, any State thereof or the District of Columbia, and the Successor Company (if not the Company) shall expressly assume by supplemental indenture all of the obligations of the Company under the Notes and this Indenture (including, without limitation, the obligations to pay Additional Amounts pursuant to Section 4.10); </w:t>
      </w:r>
    </w:p>
    <w:p>
      <w:pPr>
        <w:pStyle w:val="TextBody"/>
        <w:bidi w:val="0"/>
        <w:spacing w:before="240" w:after="0"/>
        <w:jc w:val="left"/>
        <w:rPr>
          <w:rFonts w:ascii="Times New Roman" w:hAnsi="Times New Roman"/>
          <w:sz w:val="20"/>
        </w:rPr>
      </w:pPr>
      <w:r>
        <w:rPr>
          <w:rFonts w:ascii="Times New Roman" w:hAnsi="Times New Roman"/>
          <w:sz w:val="20"/>
        </w:rPr>
        <w:t xml:space="preserve">(b) immediately after giving effect to such transaction, no Default or Event of Default shall have occurred and be continuing under this Indenture;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if the Company is not the Successor Company, the Company shall have, at or prior to the effective date of such transaction, delivered to the Trustee an Officers’ Certificate and an Opinion of Counsel, each stating that the execution and delivery of such supplemental indenture do not conflict with the requirements set forth in this Indenture and that all conditions precedent to the execution and delivery of such supplemental indenture have been satisfied, subject to customary assumptions, qualifications and exceptions.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11.01,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shall be deemed to be the sale, conveyance, transfer or lease of all or substantially all of the properties and assets of the Company to another Person. </w:t>
      </w:r>
    </w:p>
    <w:p>
      <w:pPr>
        <w:pStyle w:val="TextBody"/>
        <w:bidi w:val="0"/>
        <w:spacing w:before="240" w:after="0"/>
        <w:jc w:val="left"/>
        <w:rPr>
          <w:rFonts w:ascii="Times New Roman" w:hAnsi="Times New Roman"/>
          <w:sz w:val="20"/>
        </w:rPr>
      </w:pPr>
      <w:r>
        <w:rPr>
          <w:rFonts w:ascii="Times New Roman" w:hAnsi="Times New Roman"/>
          <w:sz w:val="20"/>
        </w:rPr>
        <w:t>Section 11.02</w:t>
      </w:r>
      <w:r>
        <w:rPr>
          <w:rFonts w:ascii="Times New Roman" w:hAnsi="Times New Roman"/>
          <w:i/>
          <w:sz w:val="20"/>
        </w:rPr>
        <w:t>. Successor Corporation to Be Substituted.</w:t>
      </w:r>
      <w:r>
        <w:rPr>
          <w:rFonts w:ascii="Times New Roman" w:hAnsi="Times New Roman"/>
          <w:sz w:val="20"/>
        </w:rPr>
        <w:t xml:space="preserve">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Special Interest, if any,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(if not the Company) shall succeed to and, except in the case of a lease of all or substantially all of the Company’s properties and assets, shall be substituted for the Company, with the same effect as if it had been named herein as the party of the first part, and may thereafter exercise every right and power of the Company under this Indenture.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 and the Notes. </w:t>
      </w:r>
    </w:p>
    <w:p>
      <w:pPr>
        <w:pStyle w:val="TextBody"/>
        <w:bidi w:val="0"/>
        <w:spacing w:before="240" w:after="0"/>
        <w:jc w:val="left"/>
        <w:rPr>
          <w:rFonts w:ascii="Times New Roman" w:hAnsi="Times New Roman"/>
          <w:sz w:val="20"/>
        </w:rPr>
      </w:pPr>
      <w:r>
        <w:rPr>
          <w:rFonts w:ascii="Times New Roman" w:hAnsi="Times New Roman"/>
          <w:sz w:val="20"/>
        </w:rPr>
        <w:t xml:space="preserve">In case of any such consolidation, merger, sale, conveyance, transfer or lease, such changes in phraseology and form (but not in substance) may be made in the Notes thereafter to be issued as may be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11.03</w:t>
      </w:r>
      <w:r>
        <w:rPr>
          <w:rFonts w:ascii="Times New Roman" w:hAnsi="Times New Roman"/>
          <w:i/>
          <w:sz w:val="20"/>
        </w:rPr>
        <w:t>. Opinion of Counsel to Be Given to Trustee.</w:t>
      </w:r>
      <w:r>
        <w:rPr>
          <w:rFonts w:ascii="Times New Roman" w:hAnsi="Times New Roman"/>
          <w:sz w:val="20"/>
        </w:rPr>
        <w:t xml:space="preserve"> No such consolidation, merger, sale, conveyance, transfer or lease shall be effective unless the Trustee shall receive an Officers’ Certificate and an Opinion of Counsel as conclusive evidence that any such consolidation, merger, sale, conveyance, transfer or lease and any such assumption and, if a supplemental indenture is required in connection with such transaction, such supplemental indenture, complies with the provisions of this Article 11. </w:t>
      </w:r>
    </w:p>
    <w:p>
      <w:pPr>
        <w:pStyle w:val="TextBody"/>
        <w:bidi w:val="0"/>
        <w:spacing w:before="480" w:after="0"/>
        <w:jc w:val="center"/>
        <w:rPr>
          <w:rFonts w:ascii="Times New Roman" w:hAnsi="Times New Roman"/>
          <w:sz w:val="20"/>
        </w:rPr>
      </w:pPr>
      <w:r>
        <w:rPr>
          <w:rFonts w:ascii="Times New Roman" w:hAnsi="Times New Roman"/>
          <w:sz w:val="20"/>
        </w:rPr>
        <w:t xml:space="preserve">ARTICLE 12 </w:t>
      </w:r>
    </w:p>
    <w:p>
      <w:pPr>
        <w:pStyle w:val="TextBody"/>
        <w:bidi w:val="0"/>
        <w:spacing w:before="0" w:after="0"/>
        <w:jc w:val="center"/>
        <w:rPr>
          <w:rFonts w:ascii="Times New Roman" w:hAnsi="Times New Roman"/>
          <w:sz w:val="20"/>
        </w:rPr>
      </w:pPr>
      <w:r>
        <w:rPr>
          <w:rFonts w:ascii="Times New Roman" w:hAnsi="Times New Roman"/>
          <w:sz w:val="20"/>
        </w:rPr>
        <w:t xml:space="preserve">IMMUNITY OF INCORPORATORS, SHAREHOLDERS, OFFICERS AND DIRECTORS </w:t>
      </w:r>
    </w:p>
    <w:p>
      <w:pPr>
        <w:pStyle w:val="TextBody"/>
        <w:bidi w:val="0"/>
        <w:spacing w:before="240" w:after="0"/>
        <w:jc w:val="left"/>
        <w:rPr>
          <w:rFonts w:ascii="Times New Roman" w:hAnsi="Times New Roman"/>
          <w:sz w:val="20"/>
        </w:rPr>
      </w:pPr>
      <w:r>
        <w:rPr>
          <w:rFonts w:ascii="Times New Roman" w:hAnsi="Times New Roman"/>
          <w:sz w:val="20"/>
        </w:rPr>
        <w:t>Section 12.01</w:t>
      </w:r>
      <w:r>
        <w:rPr>
          <w:rFonts w:ascii="Times New Roman" w:hAnsi="Times New Roman"/>
          <w:i/>
          <w:sz w:val="20"/>
        </w:rPr>
        <w:t>. Indenture and Notes Solely Corporate Obligations.</w:t>
      </w:r>
      <w:r>
        <w:rPr>
          <w:rFonts w:ascii="Times New Roman" w:hAnsi="Times New Roman"/>
          <w:sz w:val="20"/>
        </w:rPr>
        <w:t xml:space="preserve"> No recourse for the payment of the principal of or accrued and unpaid interest, if any, on any Note, nor for any claim based thereon or otherwise in respect thereof, and no recourse under or upon any obligation, covenant or agreement of the Company in this Indenture or in any supplemental indenture or in any Note, nor because of the creation of any indebtedness represented thereby, shall be had against any incorporator, shareholder,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 </w:t>
      </w:r>
    </w:p>
    <w:p>
      <w:pPr>
        <w:pStyle w:val="TextBody"/>
        <w:bidi w:val="0"/>
        <w:spacing w:before="480" w:after="0"/>
        <w:jc w:val="center"/>
        <w:rPr>
          <w:rFonts w:ascii="Times New Roman" w:hAnsi="Times New Roman"/>
          <w:sz w:val="20"/>
        </w:rPr>
      </w:pPr>
      <w:r>
        <w:rPr>
          <w:rFonts w:ascii="Times New Roman" w:hAnsi="Times New Roman"/>
          <w:sz w:val="20"/>
        </w:rPr>
        <w:t xml:space="preserve">ARTICLE 13 </w:t>
      </w:r>
    </w:p>
    <w:p>
      <w:pPr>
        <w:pStyle w:val="TextBody"/>
        <w:bidi w:val="0"/>
        <w:spacing w:before="0" w:after="0"/>
        <w:jc w:val="center"/>
        <w:rPr>
          <w:rFonts w:ascii="Times New Roman" w:hAnsi="Times New Roman"/>
          <w:sz w:val="20"/>
        </w:rPr>
      </w:pPr>
      <w:r>
        <w:rPr>
          <w:rFonts w:ascii="Times New Roman" w:hAnsi="Times New Roman"/>
          <w:sz w:val="20"/>
        </w:rPr>
        <w:t xml:space="preserve">[INTENTIONALLY OMITTED] </w:t>
      </w:r>
    </w:p>
    <w:p>
      <w:pPr>
        <w:pStyle w:val="TextBody"/>
        <w:bidi w:val="0"/>
        <w:spacing w:before="240" w:after="0"/>
        <w:jc w:val="center"/>
        <w:rPr>
          <w:rFonts w:ascii="Times New Roman" w:hAnsi="Times New Roman"/>
          <w:sz w:val="20"/>
        </w:rPr>
      </w:pPr>
      <w:r>
        <w:rPr>
          <w:rFonts w:ascii="Times New Roman" w:hAnsi="Times New Roman"/>
          <w:sz w:val="20"/>
        </w:rPr>
        <w:t xml:space="preserve">ARTICLE 14 </w:t>
      </w:r>
    </w:p>
    <w:p>
      <w:pPr>
        <w:pStyle w:val="TextBody"/>
        <w:bidi w:val="0"/>
        <w:spacing w:before="0" w:after="0"/>
        <w:jc w:val="center"/>
        <w:rPr>
          <w:rFonts w:ascii="Times New Roman" w:hAnsi="Times New Roman"/>
          <w:sz w:val="20"/>
        </w:rPr>
      </w:pPr>
      <w:r>
        <w:rPr>
          <w:rFonts w:ascii="Times New Roman" w:hAnsi="Times New Roman"/>
          <w:sz w:val="20"/>
        </w:rPr>
        <w:t xml:space="preserve">CONVERSION OF NOTES </w:t>
      </w:r>
    </w:p>
    <w:p>
      <w:pPr>
        <w:pStyle w:val="TextBody"/>
        <w:bidi w:val="0"/>
        <w:spacing w:before="240" w:after="0"/>
        <w:jc w:val="left"/>
        <w:rPr>
          <w:rFonts w:ascii="Times New Roman" w:hAnsi="Times New Roman"/>
          <w:sz w:val="20"/>
        </w:rPr>
      </w:pPr>
      <w:r>
        <w:rPr>
          <w:rFonts w:ascii="Times New Roman" w:hAnsi="Times New Roman"/>
          <w:sz w:val="20"/>
        </w:rPr>
        <w:t>Section 14.01</w:t>
      </w:r>
      <w:r>
        <w:rPr>
          <w:rFonts w:ascii="Times New Roman" w:hAnsi="Times New Roman"/>
          <w:i/>
          <w:sz w:val="20"/>
        </w:rPr>
        <w:t>. Conversion Privilege.</w:t>
      </w:r>
      <w:r>
        <w:rPr>
          <w:rFonts w:ascii="Times New Roman" w:hAnsi="Times New Roman"/>
          <w:sz w:val="20"/>
        </w:rPr>
        <w:t xml:space="preserve"> (a) Subject to and upon compliance with the provisions of this Article 14, each Holder of a Note shall have the right, at such Holder’s option, to convert all or any portion (if the portion to be converted is $1,000 principal amount or an integral multiple thereof) of such Note (i) subject to satisfaction of the conditions described in Section 14.01(b), at any time prior to the close of business on the Business Day immediately preceding May 15, 2031 under the circumstances and during the periods set forth in Section 14.01(b), and (ii) regardless of the conditions described in Section 14.01(b), on or after May 15, 2031 and prior to the close of business on the second Scheduled Trading Day immediately preceding the Maturity Date, in each case, at an initial conversion rate of 2.6281 ADSs (subject to adjustment as provided in this Article 14, the “</w:t>
      </w:r>
      <w:r>
        <w:rPr>
          <w:rFonts w:ascii="Times New Roman" w:hAnsi="Times New Roman"/>
          <w:b/>
          <w:sz w:val="20"/>
        </w:rPr>
        <w:t>Conversion Rate</w:t>
      </w:r>
      <w:r>
        <w:rPr>
          <w:rFonts w:ascii="Times New Roman" w:hAnsi="Times New Roman"/>
          <w:sz w:val="20"/>
        </w:rPr>
        <w:t>”) per $1,000 principal amount of Notes (subject to, and in accordance with, the settlement provisions of Section 14.02, the “</w:t>
      </w:r>
      <w:r>
        <w:rPr>
          <w:rFonts w:ascii="Times New Roman" w:hAnsi="Times New Roman"/>
          <w:b/>
          <w:sz w:val="20"/>
        </w:rPr>
        <w:t>Conversion Obligation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 Prior to the close of business on the Business Day immediately preceding May 15, 2031, a Holder may surrender all or any portion of its Notes for conversion at any time during the five consecutive Business Day period immediately after any ten consecutive Trading Day period (the “</w:t>
      </w:r>
      <w:r>
        <w:rPr>
          <w:rFonts w:ascii="Times New Roman" w:hAnsi="Times New Roman"/>
          <w:b/>
          <w:sz w:val="20"/>
        </w:rPr>
        <w:t>Measurement Period</w:t>
      </w:r>
      <w:r>
        <w:rPr>
          <w:rFonts w:ascii="Times New Roman" w:hAnsi="Times New Roman"/>
          <w:sz w:val="20"/>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ADSs on each such Trading Day and the Conversion Rate on each such Trading Day (the “</w:t>
      </w:r>
      <w:r>
        <w:rPr>
          <w:rFonts w:ascii="Times New Roman" w:hAnsi="Times New Roman"/>
          <w:b/>
          <w:sz w:val="20"/>
        </w:rPr>
        <w:t>Trading Price Condition</w:t>
      </w:r>
      <w:r>
        <w:rPr>
          <w:rFonts w:ascii="Times New Roman" w:hAnsi="Times New Roman"/>
          <w:sz w:val="20"/>
        </w:rPr>
        <w:t xml:space="preserve">”). The Trading Prices shall be determined by the Bid Solicitation Agent pursuant to this subsection (b)(i) and the definition of Trading Price set forth in this Indenture. The Company shall provide written notice to the Bid Solicitation Agent (if other than the Company) of the three independent nationally recognized securities dealers selected by the Company pursuant to the definition of Trading Price, along with appropriate contact information for each. The Bid Solicitation Agent (if other than the Company) shall have no obligation to determine the Trading Price per $1,000 principal amount of Notes unless the Company has requested such determination, and the Company shall have no obligation to make such request (or, if the Company is acting as Bid Solicitation Agent, the Company shall have no obligation to determine the Trading Price per $1,000 principal amount of Notes) unless a Holder or Holders of at least $1,000,000 principal amount of Notes provides the Company with reasonable evidence that the Trading Price per $1,000 principal amount of Notes on any Trading Day would be less than 98% of the product of the Last Reported Sale Price of the ADSs on such Trading Day and the Conversion Rate on such Trading Day, at which time the Company shall instruct the Bid Solicitation Agent (if other than the Company) to determine, or if the Company is acting as Bid Solicitation Agent, the Company shall determine, the Trading Price per $1,000 principal amount of Notes beginning on the next Trading Day and on each successive Trading Day until the Trading Price per $1,000 principal amount of Notes is greater than or equal to 98% of the product of the Last Reported Sale Price of the ADSs and the Conversion Rate. If (x) the Company is not acting as Bid Solicitation Agent, and the Company does not instruct the Bid Solicitation Agent to determine the Trading Price per $1,000 principal amount of Notes when obligated as provided in the preceding sentence, or if the Company instructs the Bid Solicitation Agent to obtain bids and the Bid Solicitation Agent fails to make such determination, or (y) the Company is acting as Bid Solicitation Agent and the Company fails to make such determination when obligated as provided in the preceding sentence, then, in either case, the Trading Price per $1,000 principal amount of Notes shall be deemed to be less than 98% of the product of the Last Reported Sale Price of the ADSs and the Conversion Rate on each Trading Day of such failure. If the Trading Price Condition has been met, the Company shall so notify the Holders, the Trustee and the Conversion Agent (if other than the Trustee). If, at any time after the Trading Price Condition has been met, the Trading Price per $1,000 principal amount of Notes is greater than or equal to 98% of the product of the Last Reported Sale Price of the ADSs and the Conversion Rate for such date, the Company shall so notify the Holders of the Notes, the Trustee and the Conversion Agent (if other than the Trustee) that the Trading Price Condition is no longer met and thereafter neither the Company nor the Bid Solicitation Agent (if other than the Company) shall be required to solicit bids again until another qualifying request is made as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prior to the close of business on the Business Day immediately preceding May 15, 2031, the Company elects to: </w:t>
      </w:r>
    </w:p>
    <w:p>
      <w:pPr>
        <w:pStyle w:val="TextBody"/>
        <w:bidi w:val="0"/>
        <w:spacing w:before="120" w:after="0"/>
        <w:jc w:val="left"/>
        <w:rPr>
          <w:rFonts w:ascii="Times New Roman" w:hAnsi="Times New Roman"/>
          <w:sz w:val="20"/>
        </w:rPr>
      </w:pPr>
      <w:r>
        <w:rPr>
          <w:rFonts w:ascii="Times New Roman" w:hAnsi="Times New Roman"/>
          <w:sz w:val="20"/>
        </w:rPr>
        <w:t xml:space="preserve">(A) issue to all or substantially all holders of the Ordinary Shares (directly or in the form of ADSs) any rights, options or warrants (other than a distribution of rights pursuant to a shareholder rights plan prior to the separation of such rights from the Ordinary Shares) entitling them, for a period of not more than 45 calendar days after the announcement date of such issuance, to subscribe for or purchase Ordinary Shares (directly or in the form of ADSs) at a price per share that is less than (i) the average of the Last Reported Sale Prices of the ADSs for the 10 consecutive Trading Day period ending on, and including, the Trading Day immediately preceding the date of announcement of such issuance </w:t>
      </w:r>
      <w:r>
        <w:rPr>
          <w:rFonts w:ascii="Times New Roman" w:hAnsi="Times New Roman"/>
          <w:i/>
          <w:sz w:val="20"/>
        </w:rPr>
        <w:t>divided by</w:t>
      </w:r>
      <w:r>
        <w:rPr>
          <w:rFonts w:ascii="Times New Roman" w:hAnsi="Times New Roman"/>
          <w:sz w:val="20"/>
        </w:rPr>
        <w:t xml:space="preserve"> (ii) the number of Ordinary Shares then represented by one ADS; or </w:t>
      </w:r>
    </w:p>
    <w:p>
      <w:pPr>
        <w:pStyle w:val="TextBody"/>
        <w:bidi w:val="0"/>
        <w:spacing w:before="120" w:after="0"/>
        <w:jc w:val="left"/>
        <w:rPr>
          <w:rFonts w:ascii="Times New Roman" w:hAnsi="Times New Roman"/>
          <w:sz w:val="20"/>
        </w:rPr>
      </w:pPr>
      <w:r>
        <w:rPr>
          <w:rFonts w:ascii="Times New Roman" w:hAnsi="Times New Roman"/>
          <w:sz w:val="20"/>
        </w:rPr>
        <w:t xml:space="preserve">(B) distribute to all or substantially all holders of the Ordinary Shares (directly or in the form of ADSs) the Company’s assets, securities or rights to purchase securities of the Company (other than a distribution of rights pursuant to a shareholder rights plan prior to the separation of such rights from the Ordinary Shares), which distribution has a per share value, as reasonably determined by the Board of Directors, exceeding (i) 10% of the Last Reported Sale Price of the ADSs on the Trading Day preceding the date of announcement for such distribution </w:t>
      </w:r>
      <w:r>
        <w:rPr>
          <w:rFonts w:ascii="Times New Roman" w:hAnsi="Times New Roman"/>
          <w:i/>
          <w:sz w:val="20"/>
        </w:rPr>
        <w:t>divided by</w:t>
      </w:r>
      <w:r>
        <w:rPr>
          <w:rFonts w:ascii="Times New Roman" w:hAnsi="Times New Roman"/>
          <w:sz w:val="20"/>
        </w:rPr>
        <w:t xml:space="preserve"> (ii) the number of Ordinary Shares then represented by one ADS, </w:t>
      </w:r>
    </w:p>
    <w:p>
      <w:pPr>
        <w:pStyle w:val="TextBody"/>
        <w:bidi w:val="0"/>
        <w:spacing w:before="240" w:after="0"/>
        <w:jc w:val="left"/>
        <w:rPr>
          <w:rFonts w:ascii="Times New Roman" w:hAnsi="Times New Roman"/>
          <w:sz w:val="20"/>
        </w:rPr>
      </w:pPr>
      <w:r>
        <w:rPr>
          <w:rFonts w:ascii="Times New Roman" w:hAnsi="Times New Roman"/>
          <w:sz w:val="20"/>
        </w:rPr>
        <w:t xml:space="preserve">then, in either case, the Company shall notify all Holders of the Notes, the Trustee and the Conversion Agent (if other than the Trustee), or cause the Trustee (upon three Business Days written notice, unless a shorter period shall be satisfactory to the Trustee) to notify the Conversion Agent (in the case of a Conversion Agent other than the Trustee) and all Holders of the Notes, in writing at least 50 Scheduled Trading Days prior to the Ex-Dividend Date for such issuance or distribution. Once the Company has given such notice, a Holder may surrender all or any portion of its Notes for conversion at any time until the earlier of (1) the close of business on the Business Day immediately preceding the Ex-Dividend Date for such issuance or distribution and (2) the Company’s announcement that such issuance or distribution will not take place, in each case, even if the Notes are not otherwise convertible at such time. However, the Company shall not be required to provide such notice, and the Notes shall not become convertible pursuant to this subclause (ii), as a result of any such issuance or distribution if each Holder participates, at the same time and upon the same terms as holders of the ADSs and solely as a result of holding the Notes, in such issuance or distribution without having to convert such Holder’s Notes as if such Holder held a number of ADSs equal to the Conversion Rate as of the record date for such issuance or distribution </w:t>
      </w:r>
      <w:r>
        <w:rPr>
          <w:rFonts w:ascii="Times New Roman" w:hAnsi="Times New Roman"/>
          <w:i/>
          <w:sz w:val="20"/>
        </w:rPr>
        <w:t>multiplied by</w:t>
      </w:r>
      <w:r>
        <w:rPr>
          <w:rFonts w:ascii="Times New Roman" w:hAnsi="Times New Roman"/>
          <w:sz w:val="20"/>
        </w:rPr>
        <w:t xml:space="preserve"> the principal amount (expressed in thousands) of Notes held by such Holder. </w:t>
      </w:r>
    </w:p>
    <w:p>
      <w:pPr>
        <w:pStyle w:val="TextBody"/>
        <w:bidi w:val="0"/>
        <w:spacing w:before="120" w:after="0"/>
        <w:jc w:val="left"/>
        <w:rPr>
          <w:rFonts w:ascii="Times New Roman" w:hAnsi="Times New Roman"/>
          <w:sz w:val="20"/>
        </w:rPr>
      </w:pPr>
      <w:r>
        <w:rPr>
          <w:rFonts w:ascii="Times New Roman" w:hAnsi="Times New Roman"/>
          <w:sz w:val="20"/>
        </w:rPr>
        <w:t>(iii) If (i) a transaction or event that constitutes (x) a Fundamental Change or (y) a Make-Whole Fundamental Change occurs prior to the close of business on the Business Day immediately preceding May 15, 2031, regardless of whether a Holder has the right to require the Company to repurchase the Notes pursuant to Section 15.02, or (ii) the Company is a party to a Share Exchange Event that occurs prior to the close of business on the Business Day immediately preceding May 15, 2031 (each such Fundamental Change, Make-Whole Fundamental Change or Share Exchange Event, a “</w:t>
      </w:r>
      <w:r>
        <w:rPr>
          <w:rFonts w:ascii="Times New Roman" w:hAnsi="Times New Roman"/>
          <w:b/>
          <w:sz w:val="20"/>
        </w:rPr>
        <w:t>Corporate Event</w:t>
      </w:r>
      <w:r>
        <w:rPr>
          <w:rFonts w:ascii="Times New Roman" w:hAnsi="Times New Roman"/>
          <w:sz w:val="20"/>
        </w:rPr>
        <w:t xml:space="preserve">”), then, in each case, all or any portion of a Holder’s Notes may be surrendered for conversion at any time from or after the effective date of such Corporate Event until 35 Trading Days after the effective date of such Corporate Event (or, if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gives notice after the effective date of such Corporate Event, until 35 Trading Days after the date the Company gives notice) or, if such Corporate Event also constitutes a Fundamental Change (other than an Exempted Fundamental Change), until the close of business on the second Business Day immediately preceding the related Fundamental Change Repurchase Date. The Company shall notify Holders, the Trustee and the Conversion Agent (if other than the Trustee) in writing as promptly as practicable following the date the Company publicly announces such Corporate Event, but in no event later than the effective date of such Corporate Event. </w:t>
      </w:r>
    </w:p>
    <w:p>
      <w:pPr>
        <w:pStyle w:val="TextBody"/>
        <w:bidi w:val="0"/>
        <w:spacing w:before="120" w:after="0"/>
        <w:jc w:val="left"/>
        <w:rPr>
          <w:rFonts w:ascii="Times New Roman" w:hAnsi="Times New Roman"/>
          <w:sz w:val="20"/>
        </w:rPr>
      </w:pPr>
      <w:r>
        <w:rPr>
          <w:rFonts w:ascii="Times New Roman" w:hAnsi="Times New Roman"/>
          <w:sz w:val="20"/>
        </w:rPr>
        <w:t>(iv) Prior to the close of business on the Business Day immediately preceding May 15, 2031, a Holder may surrender all or any portion of its Notes for conversion during any calendar quarter commencing after the calendar quarter ending on September 30, 2026, if the Last Reported Sale Price of the ADSs equals or exceeds 130% of the Conversion Price for each of at least 20 Trading Days, whether or not consecutive, during the 30 consecutive Trading Days ending on, and including, the last Trading Day of the immediately preceding calendar quarter, as determined by the Company (the “</w:t>
      </w:r>
      <w:r>
        <w:rPr>
          <w:rFonts w:ascii="Times New Roman" w:hAnsi="Times New Roman"/>
          <w:b/>
          <w:sz w:val="20"/>
        </w:rPr>
        <w:t>Sale Price Condition</w:t>
      </w:r>
      <w:r>
        <w:rPr>
          <w:rFonts w:ascii="Times New Roman" w:hAnsi="Times New Roman"/>
          <w:sz w:val="20"/>
        </w:rPr>
        <w:t xml:space="preserve">”). If the Sale Price Condition has been met, the Company shall notify the Holders, the Trustee and the Conversion Agent (if other than the Trustee). </w:t>
      </w:r>
    </w:p>
    <w:p>
      <w:pPr>
        <w:pStyle w:val="TextBody"/>
        <w:bidi w:val="0"/>
        <w:spacing w:before="120" w:after="0"/>
        <w:jc w:val="left"/>
        <w:rPr>
          <w:rFonts w:ascii="Times New Roman" w:hAnsi="Times New Roman"/>
          <w:sz w:val="20"/>
        </w:rPr>
      </w:pPr>
      <w:r>
        <w:rPr>
          <w:rFonts w:ascii="Times New Roman" w:hAnsi="Times New Roman"/>
          <w:sz w:val="20"/>
        </w:rPr>
        <w:t>(v) If the Company calls any or all of the Notes for Redemption pursuant to Article 16, then a Holder may surrender all or any portion of its Called Notes for conversion at any time prior to the close of business on the second Scheduled Trading Day prior to the Redemption Date, even if the Called Notes are not otherwise convertible at such time. After that time, the right to convert such Called Notes on account of the Company’s delivery of the relevant Redemption Notice shall expire, unless the Company defaults in the payment of the Redemption Price, in which case a Holder of Called Notes may convert all of any portion of its Called Notes until the Redemption Price has been paid or duly provided for. If the Company elects to redeem fewer than all of the outstanding Notes pursuant to a Provisional Redemption, and the Holder of any Note (or any owner of a beneficial interest in any Global Note) is reasonably not able to determine, prior to the close of business on the 44th Scheduled Trading Day immediately preceding the relevant Redemption Date, whether such Note or beneficial interest, as applicable, is to be redeemed pursuant to such Provisional Redemption (and, as a result thereof, convertible in accordance with this clause (v)), then such Note or beneficial interest will be deemed called for such Provisional Redemption solely for the purposes of such conversion (“</w:t>
      </w:r>
      <w:r>
        <w:rPr>
          <w:rFonts w:ascii="Times New Roman" w:hAnsi="Times New Roman"/>
          <w:b/>
          <w:sz w:val="20"/>
        </w:rPr>
        <w:t>Deemed Redemption</w:t>
      </w:r>
      <w:r>
        <w:rPr>
          <w:rFonts w:ascii="Times New Roman" w:hAnsi="Times New Roman"/>
          <w:sz w:val="20"/>
        </w:rPr>
        <w:t xml:space="preserve">”), such Holder or owner, as applicable, shall be entitled to convert such Note or beneficial interest, as applicable, at any time before the close of business on the second Scheduled Trading Day immediately preceding such Redemption Date (unless the Company defaults in the payment of the Redemption Price, in which case such Holder or owner, as applicable, shall be entitled to convert such Note or beneficial interest, as applicable, until the Redemption Price has been paid or duly provided for) and each such conversion shall be deemed to be the conversion of a Note called for Redemption.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14.02</w:t>
      </w:r>
      <w:r>
        <w:rPr>
          <w:rFonts w:ascii="Times New Roman" w:hAnsi="Times New Roman"/>
          <w:i/>
          <w:sz w:val="20"/>
        </w:rPr>
        <w:t>. Conversion Procedure; Settlement Upon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provided in Section 14.03(b) and Section 14.07(a), upon conversion of any Note, on the third Business Day immediately following the last Trading Day of the relevant Observation Period, the Company shall pay or deliver, as the case may be, to the converting Holder, in respect of each $1,000 principal amount of Notes being converted, an amount equal to the sum of the Daily Settlement Amounts for each of the 40 consecutive Trading Days during the relevant Observation Period for such Note, together with cash, if applicable, in lieu of delivering any fractional ADSs in accordance with subsection (j) of this Section 14.02. </w:t>
      </w:r>
    </w:p>
    <w:p>
      <w:pPr>
        <w:pStyle w:val="TextBody"/>
        <w:bidi w:val="0"/>
        <w:spacing w:before="120" w:after="0"/>
        <w:jc w:val="left"/>
        <w:rPr>
          <w:rFonts w:ascii="Times New Roman" w:hAnsi="Times New Roman"/>
          <w:sz w:val="20"/>
        </w:rPr>
      </w:pPr>
      <w:r>
        <w:rPr>
          <w:rFonts w:ascii="Times New Roman" w:hAnsi="Times New Roman"/>
          <w:sz w:val="20"/>
        </w:rPr>
        <w:t>(i) All conversions of Called Notes for which the relevant Conversion Date occurs during the related Redemption Period, and all conversions of Notes for which the relevant Conversion Date occurs on or after May 15, 2031, shall be settled using the same forms and amounts of consideration. Except for any conversions of Called Notes for which the relevant Conversion Date occurs during the related Redemption Period, and any conversions of Notes for which the relevant Conversion Date occurs on or after May 15, 2031, the Company shall use the same forms and amounts of consideration for all conversions of Notes with the same Conversion Date, but the Company shall not have any obligation to use the same forms and amounts of consideration with respect to conversions of Notes with different Conversion Dates. If, in respect of any Conversion Date (or one of the periods described in the fourth immediately succeeding set of parentheses, as the case may be), the Company elects to settle all or a portion of its Conversion Obligation in excess of the principal portion of the Notes being converted in cash in respect of such Conversion Date (or such period, as the case may be), the Company shall inform converting Holders, the Trustee and the Conversion Agent (if other than the Trustee) in writing of such election (the “</w:t>
      </w:r>
      <w:r>
        <w:rPr>
          <w:rFonts w:ascii="Times New Roman" w:hAnsi="Times New Roman"/>
          <w:b/>
          <w:sz w:val="20"/>
        </w:rPr>
        <w:t>Settlement Notice</w:t>
      </w:r>
      <w:r>
        <w:rPr>
          <w:rFonts w:ascii="Times New Roman" w:hAnsi="Times New Roman"/>
          <w:sz w:val="20"/>
        </w:rPr>
        <w:t>”) no later than the close of business on the Trading Day immediately following the related Conversion Date (or, in the case of (x) any conversions of Called Notes for which the relevant Conversion Date occurs during the related Redemption Period, in such Redemption Notice or (y) any conversion of Notes for which the relevant Conversion Date occurs on or after May 15, 2031, no later than May 15, 2031) and the Company shall indicate in such Settlement Notice the percentage of the consideration due upon conversion in excess of the principal portion of the Notes being converted that will be paid in cash (the “</w:t>
      </w:r>
      <w:r>
        <w:rPr>
          <w:rFonts w:ascii="Times New Roman" w:hAnsi="Times New Roman"/>
          <w:b/>
          <w:sz w:val="20"/>
        </w:rPr>
        <w:t>Cash Percentage</w:t>
      </w:r>
      <w:r>
        <w:rPr>
          <w:rFonts w:ascii="Times New Roman" w:hAnsi="Times New Roman"/>
          <w:sz w:val="20"/>
        </w:rPr>
        <w:t xml:space="preserve">”). If the Company does not elect a Cash Percentage prior to the deadline set forth in the immediately preceding sentence, the Company shall no longer have the right to elect a Cash Percentage and the Company shall settle its Conversion Obligation by paying cash in respect of the principal portion of the converted Notes and delivering ADSs in respect of the remainder (other than cash in lieu of any fractional ADSs), if any, of its Conversion Obligation in excess of the aggregate principal portion of the Notes being converted as set forth herein. For the avoidance of doubt, the Company’s failure to make a timely election of the Cash Percentage, as described above, will not constitute a Default under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Daily Settlement Amounts, the Daily Net Settlement Amounts (if applicable) and the Daily Conversion Values shall be determined by the Company promptly following the last day of the Observation Period. Promptly after such determination of the Daily Settlement Amounts, the Daily Net Settlement Amounts (if applicable), the Daily Conversion Values and the amount of cash payable in lieu of delivering any fractional ADSs, the Company shall notify the Trustee and the Conversion Agent (if other than the Trustee) of the Daily Settlement Amounts, the Daily Net Settlement Amounts (if applicable), the Daily Conversion Values and the amount of cash payable in lieu of delivering any fractional ADSs. The Trustee and the Conversion Agent (if other than the Trustee) shall have no responsibility for any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Subject to Section 14.02(e), before any Holder of a Note shall be entitled to convert a Note as set forth above, such Holder shall (i) in the case of a Global Note, comply with the procedures of the Depositary in effect at that time and, if required, pay funds equal to the Special Interest, if any, payable on the next Special Interest Payment Date to which such Holder is not entitled as set forth in Section 14.02(h) and (ii) in the case of a Physical Note (1) complete, manually sign and deliver an irrevocable notice to the Conversion Agent as set forth in the Form of Notice of Conversion (or a facsimile, PDF or other electronic transmission thereof) (a notice pursuant to the applicable procedures of the Depositary or a notice as set forth in the Form of Notice of Conversion, a “</w:t>
      </w:r>
      <w:r>
        <w:rPr>
          <w:rFonts w:ascii="Times New Roman" w:hAnsi="Times New Roman"/>
          <w:b/>
          <w:sz w:val="20"/>
        </w:rPr>
        <w:t>Notice of Conversion</w:t>
      </w:r>
      <w:r>
        <w:rPr>
          <w:rFonts w:ascii="Times New Roman" w:hAnsi="Times New Roman"/>
          <w:sz w:val="20"/>
        </w:rPr>
        <w:t xml:space="preserve">”) at the office of the Conversion Agent and state in writing therein the principal amount of Notes to be converted and the name or names (with addresses) in which such Holder wishes the certificate or certificates for any ADSs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the Special Interest, if any, payable on the next Special Interest Payment Date to which such Holder is not entitled as set forth in Section 14.02(h). The Trustee (and if different, the Conversion Agent) shall notify the Company of any conversion pursuant to this Article 14 on the Conversion Date for such conversion. No Notes may be surrendered for conversion by a Holder thereof if such Holder has also delivered an Optional Repurchase Notice or a Fundamental Change Repurchase Notice to the Company in respect of such Notes, unless and until such Holder has validly withdrawn such Optional Repurchase Notice or Fundamental Change Repurchase Notice, as the case may be, in accordance with Section 15.03. </w:t>
      </w:r>
    </w:p>
    <w:p>
      <w:pPr>
        <w:pStyle w:val="TextBody"/>
        <w:bidi w:val="0"/>
        <w:spacing w:before="240" w:after="0"/>
        <w:jc w:val="left"/>
        <w:rPr>
          <w:rFonts w:ascii="Times New Roman" w:hAnsi="Times New Roman"/>
          <w:sz w:val="20"/>
        </w:rPr>
      </w:pPr>
      <w:r>
        <w:rPr>
          <w:rFonts w:ascii="Times New Roman" w:hAnsi="Times New Roman"/>
          <w:sz w:val="20"/>
        </w:rPr>
        <w:t xml:space="preserve">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 </w:t>
      </w:r>
    </w:p>
    <w:p>
      <w:pPr>
        <w:pStyle w:val="TextBody"/>
        <w:bidi w:val="0"/>
        <w:spacing w:before="240" w:after="0"/>
        <w:jc w:val="left"/>
        <w:rPr>
          <w:rFonts w:ascii="Times New Roman" w:hAnsi="Times New Roman"/>
          <w:sz w:val="20"/>
        </w:rPr>
      </w:pPr>
      <w:r>
        <w:rPr>
          <w:rFonts w:ascii="Times New Roman" w:hAnsi="Times New Roman"/>
          <w:sz w:val="20"/>
        </w:rPr>
        <w:t>(c) A Note shall be deemed to have been converted immediately prior to the close of business on the first Business Day (the “</w:t>
      </w:r>
      <w:r>
        <w:rPr>
          <w:rFonts w:ascii="Times New Roman" w:hAnsi="Times New Roman"/>
          <w:b/>
          <w:sz w:val="20"/>
        </w:rPr>
        <w:t>Conversion Date</w:t>
      </w:r>
      <w:r>
        <w:rPr>
          <w:rFonts w:ascii="Times New Roman" w:hAnsi="Times New Roman"/>
          <w:sz w:val="20"/>
        </w:rPr>
        <w:t xml:space="preserve">”) that the Holder has complied with the requirements set forth in subsection (b) above. If any ADSs are due to a converting Holder, the Company shall issue or cause to be issued, and deliver (if applicable) to the converting Holder, or such Holder’s nominee or nominees, the full number of ADSs to which such Holder shall be entitled, in book-entry format through the Depositary, in satisfaction of the Company’s Conversion Obligation. </w:t>
      </w:r>
    </w:p>
    <w:p>
      <w:pPr>
        <w:pStyle w:val="TextBody"/>
        <w:bidi w:val="0"/>
        <w:spacing w:before="240" w:after="0"/>
        <w:jc w:val="left"/>
        <w:rPr>
          <w:rFonts w:ascii="Times New Roman" w:hAnsi="Times New Roman"/>
          <w:sz w:val="20"/>
        </w:rPr>
      </w:pPr>
      <w:r>
        <w:rPr>
          <w:rFonts w:ascii="Times New Roman" w:hAnsi="Times New Roman"/>
          <w:sz w:val="20"/>
        </w:rPr>
        <w:t xml:space="preserve">(d) 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of a sum sufficient to cover any documentary, stamp or similar issue or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a Holder submits a Note for conversion, the Company shall pay any documentary, stamp or similar issue or transfer tax due on the issue of any ADSs upon conversion of the Note and any issuance of the Ordinary Shares represented by such ADSs, unless the tax is due because the Holder requests such ADSs to be issued in a name other than the Holder’s name, in which case the Holder shall pay that tax. The Company may refuse to deliver the certificates representing the ADSs being issued in a name other than the Holder’s name until the Company receives a sum sufficient to pay any tax that is due by such Holder in accordance with the immediately preceding sentence. The Company shall pay the ADS Depositary’s fees for issuance of the ADSs. </w:t>
      </w:r>
    </w:p>
    <w:p>
      <w:pPr>
        <w:pStyle w:val="TextBody"/>
        <w:bidi w:val="0"/>
        <w:spacing w:before="240" w:after="0"/>
        <w:jc w:val="left"/>
        <w:rPr>
          <w:rFonts w:ascii="Times New Roman" w:hAnsi="Times New Roman"/>
          <w:sz w:val="20"/>
        </w:rPr>
      </w:pPr>
      <w:r>
        <w:rPr>
          <w:rFonts w:ascii="Times New Roman" w:hAnsi="Times New Roman"/>
          <w:sz w:val="20"/>
        </w:rPr>
        <w:t xml:space="preserve">(f) Except as provided in Section 14.04, no adjustment shall be made for dividends on any Ordinary Shares (directly or in the form of ADSs) issued upon the conversion of any Note as provided in this Article 14. </w:t>
      </w:r>
    </w:p>
    <w:p>
      <w:pPr>
        <w:pStyle w:val="TextBody"/>
        <w:bidi w:val="0"/>
        <w:spacing w:before="240" w:after="0"/>
        <w:jc w:val="left"/>
        <w:rPr>
          <w:rFonts w:ascii="Times New Roman" w:hAnsi="Times New Roman"/>
          <w:sz w:val="20"/>
        </w:rPr>
      </w:pPr>
      <w:r>
        <w:rPr>
          <w:rFonts w:ascii="Times New Roman" w:hAnsi="Times New Roman"/>
          <w:sz w:val="20"/>
        </w:rPr>
        <w:t xml:space="preserve">(g) 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 </w:t>
      </w:r>
    </w:p>
    <w:p>
      <w:pPr>
        <w:pStyle w:val="TextBody"/>
        <w:bidi w:val="0"/>
        <w:spacing w:before="240" w:after="0"/>
        <w:jc w:val="left"/>
        <w:rPr>
          <w:rFonts w:ascii="Times New Roman" w:hAnsi="Times New Roman"/>
          <w:sz w:val="20"/>
        </w:rPr>
      </w:pPr>
      <w:r>
        <w:rPr>
          <w:rFonts w:ascii="Times New Roman" w:hAnsi="Times New Roman"/>
          <w:sz w:val="20"/>
        </w:rPr>
        <w:t xml:space="preserve">(h) Upon conversion, a Holder shall not receive any separate cash payment for accrued and unpaid Special Interest, if any, except as set forth below, and the Company shall not adjust the Conversion Rate for accrued and unpaid Special Interest, if any. The Company’s settlement of the full Conversion Obligation shall be deemed to satisfy in full its obligation to pay the principal amount of the Note and accrued and unpaid Special Interest, if any, to, but not including, the relevant Conversion Date. As a result, accrued and unpaid Special Interest, if any, to, but not including, the relevant Conversion Date shall be deemed to be paid in full rather than cancelled, extinguished or forfeited. Upon a conversion of Notes, accrued and unpaid Special Interest, if any, will be deemed to be paid first out of the cash paid upon such conversion. Notwithstanding the foregoing, if Notes are converted after the close of business on a Special Interest Record Date and prior to the open of business on the corresponding Special Interest Payment Date, Holders of such Notes as of the close of business on such Special Interest Record Date will receive the full amount of Special Interest, if any, payable on such Notes on the corresponding Special Interest Payment Date notwithstanding the conversion. Notes surrendered for conversion during the period from the close of business on any Special Interest Record Date to the open of business on the immediately following Special Interest Payment Date must be accompanied by funds equal to the amount of any Special Interest payable on the Notes so converted on the corresponding Special Interest Payment Date (regardless of whether the converting Holder was the Holder on such Special Interest Record Date); </w:t>
      </w:r>
      <w:r>
        <w:rPr>
          <w:rFonts w:ascii="Times New Roman" w:hAnsi="Times New Roman"/>
          <w:i/>
          <w:sz w:val="20"/>
        </w:rPr>
        <w:t>provided</w:t>
      </w:r>
      <w:r>
        <w:rPr>
          <w:rFonts w:ascii="Times New Roman" w:hAnsi="Times New Roman"/>
          <w:sz w:val="20"/>
        </w:rPr>
        <w:t xml:space="preserve"> that no such payment shall be required (1) for conversions following the close of business on August 1, 2031, if Special Interest is payable on the Maturity Date; (2) if the Company has specified a Redemption Date that is after a Special Interest Record Date and on or prior to the second Scheduled Trading Day immediately following the corresponding Special Interest Payment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if the Company has specified a Fundamental Change Repurchase Date that is after a Special Interest Record Date and on or prior to the second Business Day immediately following the corresponding Special Interest Payment Date; or (4) to the extent of any overdue Special Interest, if any overdue Special Interest exists at the time of conversion with respect to such Note. Therefore, for the avoidance of doubt, all Holders of record as of the close of business on August 1, 2031 (if and to the extent any Special Interest is payable on the Maturity Date), any Redemption Date described in the clause (2) above (if and to the extent Special Interest is payable on the corresponding Special Interest Payment Date) and any Fundamental Change Repurchase Date described in clause (3) above (if and to the extent Special Interest is payable on the corresponding Special Interest Payment Date) shall receive the full Special Interest payment, if any, due on the Maturity Date or other applicable Special Interest Payment Date in cash regardless of whether their Notes have been converted following August 1, 2031 or such Special Interest Record Date. </w:t>
      </w:r>
    </w:p>
    <w:p>
      <w:pPr>
        <w:pStyle w:val="TextBody"/>
        <w:bidi w:val="0"/>
        <w:spacing w:before="240" w:after="0"/>
        <w:jc w:val="left"/>
        <w:rPr>
          <w:rFonts w:ascii="Times New Roman" w:hAnsi="Times New Roman"/>
          <w:sz w:val="20"/>
        </w:rPr>
      </w:pPr>
      <w:r>
        <w:rPr>
          <w:rFonts w:ascii="Times New Roman" w:hAnsi="Times New Roman"/>
          <w:sz w:val="20"/>
        </w:rPr>
        <w:t xml:space="preserve">(i) The Person in whose name the ADSs shall be issuable upon conversion shall be treated as a holder of record of such ADSs as of the close of business on the last Trading Day of the related Observation Period. Upon a conversion of Notes, such Person shall no longer be a Holder of such Notes surrendered for conversion. </w:t>
      </w:r>
    </w:p>
    <w:p>
      <w:pPr>
        <w:pStyle w:val="TextBody"/>
        <w:bidi w:val="0"/>
        <w:spacing w:before="240" w:after="0"/>
        <w:jc w:val="left"/>
        <w:rPr>
          <w:rFonts w:ascii="Times New Roman" w:hAnsi="Times New Roman"/>
          <w:sz w:val="20"/>
        </w:rPr>
      </w:pPr>
      <w:r>
        <w:rPr>
          <w:rFonts w:ascii="Times New Roman" w:hAnsi="Times New Roman"/>
          <w:sz w:val="20"/>
        </w:rPr>
        <w:t xml:space="preserve">(j) The Company shall not issue any fractional ADSs upon conversion of the Notes and shall instead pay cash in lieu of delivering any fractional ADSs issuable upon conversion based on the Daily VWAP for the last Trading Day of the relevant Observation Period. For each Note surrendered for conversion, the full number of ADSs that shall be issued upon conversion thereof shall be computed on the basis of the aggregate Daily Settlement Amounts for the relevant Observation Period and any fractional ADSs remaining after such computation shall be paid in cash. </w:t>
      </w:r>
    </w:p>
    <w:p>
      <w:pPr>
        <w:pStyle w:val="TextBody"/>
        <w:bidi w:val="0"/>
        <w:spacing w:before="240" w:after="0"/>
        <w:jc w:val="left"/>
        <w:rPr>
          <w:rFonts w:ascii="Times New Roman" w:hAnsi="Times New Roman"/>
          <w:sz w:val="20"/>
        </w:rPr>
      </w:pPr>
      <w:r>
        <w:rPr>
          <w:rFonts w:ascii="Times New Roman" w:hAnsi="Times New Roman"/>
          <w:sz w:val="20"/>
        </w:rPr>
        <w:t xml:space="preserve">Section 14.03. </w:t>
      </w:r>
      <w:r>
        <w:rPr>
          <w:rFonts w:ascii="Times New Roman" w:hAnsi="Times New Roman"/>
          <w:i/>
          <w:sz w:val="20"/>
        </w:rPr>
        <w:t>Increased Conversion Rate Applicable to Certain Notes Surrendered in Connection with Make-Whole Fundamental Changes or Redemption Notice</w:t>
      </w:r>
      <w:r>
        <w:rPr>
          <w:rFonts w:ascii="Times New Roman" w:hAnsi="Times New Roman"/>
          <w:sz w:val="20"/>
        </w:rPr>
        <w:t>. (a) If (x) the Effective Date of a Make-Whole Fundamental Change occurs prior to the Maturity Date or (y) the Company gives a Redemption Notice with respect to any or all of the Notes in accordance with Section 16.02 and, in each case, a Holder elects to convert its Notes in connection with such Make-Whole Fundamental Change, or a Holder elects to convert its Called Notes in connection with such Redemption Notice, as the case may be, the Company shall, under the circumstances described below, increase the Conversion Rate for the Notes so surrendered for conversion by a number of additional ADSs (the “</w:t>
      </w:r>
      <w:r>
        <w:rPr>
          <w:rFonts w:ascii="Times New Roman" w:hAnsi="Times New Roman"/>
          <w:b/>
          <w:sz w:val="20"/>
        </w:rPr>
        <w:t>Additional ADSs</w:t>
      </w:r>
      <w:r>
        <w:rPr>
          <w:rFonts w:ascii="Times New Roman" w:hAnsi="Times New Roman"/>
          <w:sz w:val="20"/>
        </w:rPr>
        <w:t>”),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close of business on the second Business Day immediately prior to the related Fundamental Change Repurchase Date (or, in the case of an Exempted Fundamental Change or a Make-Whole Fundamental Change that would have been a Fundamental Change but for the proviso in clause (b) of the definition thereof, the 35th Trading Day immediately following the Effective Date (or, if later, the date the Company provides notice of such Make-Whole Fundamental Change) of such Make-Whole Fundamental Change) (such period, the “</w:t>
      </w:r>
      <w:r>
        <w:rPr>
          <w:rFonts w:ascii="Times New Roman" w:hAnsi="Times New Roman"/>
          <w:b/>
          <w:sz w:val="20"/>
        </w:rPr>
        <w:t>Make-Whole Fundamental Change Period</w:t>
      </w:r>
      <w:r>
        <w:rPr>
          <w:rFonts w:ascii="Times New Roman" w:hAnsi="Times New Roman"/>
          <w:sz w:val="20"/>
        </w:rPr>
        <w:t xml:space="preserve">”). A conversion of Called Notes shall be deemed for these purposes to be “in connection with” a Redemption Notice if the relevant Conversion Date occurs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during the related Redemption Period. For the avoidance of doubt, the Company shall increase the Conversion Rate during the related Redemption Period only with respect to conversions of Called Notes. Accordingly, if the Company elects to redeem less than all of the outstanding Notes pursuant to a Provisional Redemption as described under Article 16, Holders of the Notes other than Called Notes shall not be entitled to convert their Notes on account of the Redemption Notice or to an increased Conversion Rate for conversions of such Notes (on account of the Redemption Notice) during the applicable Redemption Period. </w:t>
      </w:r>
    </w:p>
    <w:p>
      <w:pPr>
        <w:pStyle w:val="TextBody"/>
        <w:bidi w:val="0"/>
        <w:spacing w:before="240" w:after="0"/>
        <w:jc w:val="left"/>
        <w:rPr>
          <w:rFonts w:ascii="Times New Roman" w:hAnsi="Times New Roman"/>
          <w:sz w:val="20"/>
        </w:rPr>
      </w:pPr>
      <w:r>
        <w:rPr>
          <w:rFonts w:ascii="Times New Roman" w:hAnsi="Times New Roman"/>
          <w:sz w:val="20"/>
        </w:rPr>
        <w:t xml:space="preserve">(b) Upon surrender of Notes for conversion in connection with a Make-Whole Fundamental Change or Redemption Notice, the Company shall satisfy the related Conversion Obligation in accordance with Section 14.02 based on the Conversion Rate as increased to reflect the Additional ADSs pursuant to the table below;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at the effective time of a Make-Whole Fundamental Change described in clause (b) of the definition of Fundamental Change, the Reference Property following such Make-Whole Fundamental Change is composed entirely of cash, then, for any conversion of Notes with a Conversion Date occurring on or after the Effective Date of such Make-Whole Fundamental Change, the Conversion Obligation shall be calculated based solely on the ADS Price for the transaction and shall be deemed to be an amount of cash per $1,000 principal amount of converted Notes equal to the Conversion Rate on such Conversion Date (including any increase to reflect the Additional ADSs), </w:t>
      </w:r>
      <w:r>
        <w:rPr>
          <w:rFonts w:ascii="Times New Roman" w:hAnsi="Times New Roman"/>
          <w:i/>
          <w:sz w:val="20"/>
        </w:rPr>
        <w:t>multiplied by</w:t>
      </w:r>
      <w:r>
        <w:rPr>
          <w:rFonts w:ascii="Times New Roman" w:hAnsi="Times New Roman"/>
          <w:sz w:val="20"/>
        </w:rPr>
        <w:t xml:space="preserve"> such ADS Price. In such event, the Conversion Obligation shall be determined and paid to Holders in cash on the third Business Day immediately following the Conversion Date. The Company shall notify the Holders, the Trustee and the Conversion Agent (if other than the Trustee) in writing of the Effective Date of any Make-Whole Fundamental Change no later than five Business Days after such Effective Date. </w:t>
      </w:r>
    </w:p>
    <w:p>
      <w:pPr>
        <w:pStyle w:val="TextBody"/>
        <w:bidi w:val="0"/>
        <w:spacing w:before="240" w:after="0"/>
        <w:jc w:val="left"/>
        <w:rPr>
          <w:rFonts w:ascii="Times New Roman" w:hAnsi="Times New Roman"/>
          <w:sz w:val="20"/>
        </w:rPr>
      </w:pPr>
      <w:r>
        <w:rPr>
          <w:rFonts w:ascii="Times New Roman" w:hAnsi="Times New Roman"/>
          <w:sz w:val="20"/>
        </w:rPr>
        <w:t>(c) The number of Additional ADSs, if any, by which the Conversion Rate shall be increased pursuant to this Section 14.03 shall be determined by reference to the table below, based on the date on which the Make-Whole Fundamental Change occurs or becomes effective or the Redemption Notice Date, as the case may be, (in each case, the “</w:t>
      </w:r>
      <w:r>
        <w:rPr>
          <w:rFonts w:ascii="Times New Roman" w:hAnsi="Times New Roman"/>
          <w:b/>
          <w:sz w:val="20"/>
        </w:rPr>
        <w:t>Effective Date</w:t>
      </w:r>
      <w:r>
        <w:rPr>
          <w:rFonts w:ascii="Times New Roman" w:hAnsi="Times New Roman"/>
          <w:sz w:val="20"/>
        </w:rPr>
        <w:t>”) and the price (the “</w:t>
      </w:r>
      <w:r>
        <w:rPr>
          <w:rFonts w:ascii="Times New Roman" w:hAnsi="Times New Roman"/>
          <w:b/>
          <w:sz w:val="20"/>
        </w:rPr>
        <w:t>ADS Price</w:t>
      </w:r>
      <w:r>
        <w:rPr>
          <w:rFonts w:ascii="Times New Roman" w:hAnsi="Times New Roman"/>
          <w:sz w:val="20"/>
        </w:rPr>
        <w:t xml:space="preserve">”) paid (or deemed to be paid) per ADS in the Make-Whole Fundamental Change or with respect to the Redemption, as the case may be. If the holders of the ADSs receive in exchange for their ADSs only cash in a Make-Whole Fundamental Change described in clause (b) of the definition of Fundamental Change, the ADS Price shall be the cash amount paid per ADS. Otherwise, the ADS Price shall be the average of the Last Reported Sale Prices of the ADSs over the five consecutive Trading Day period ending on, and including, the Trading Day immediately preceding the applicable Effective Date. In the event that a conversion of Called Notes in connection with a Redemption Notice would also constitute a conversion of Notes in connection with a Make-Whole Fundamental Change, a Holder of the Notes to be converted will be entitled to a single increase to the Conversion Rate with respect to the first to occur of the applicable Effective Date, and the later event will be deemed not to have occurred for purposes of this Section 14.03. </w:t>
      </w:r>
    </w:p>
    <w:p>
      <w:pPr>
        <w:pStyle w:val="TextBody"/>
        <w:bidi w:val="0"/>
        <w:spacing w:before="240" w:after="0"/>
        <w:jc w:val="left"/>
        <w:rPr>
          <w:rFonts w:ascii="Times New Roman" w:hAnsi="Times New Roman"/>
          <w:sz w:val="20"/>
        </w:rPr>
      </w:pPr>
      <w:r>
        <w:rPr>
          <w:rFonts w:ascii="Times New Roman" w:hAnsi="Times New Roman"/>
          <w:sz w:val="20"/>
        </w:rPr>
        <w:t xml:space="preserve">(d) The ADS Prices set forth in the column headings of the table below shall be adjusted as of any date on which the Conversion Rate of the Notes is otherwise adjusted. The adjusted ADS Prices shall equal the ADS Prices applicable immediately prior to such adjustment, </w:t>
      </w:r>
      <w:r>
        <w:rPr>
          <w:rFonts w:ascii="Times New Roman" w:hAnsi="Times New Roman"/>
          <w:i/>
          <w:sz w:val="20"/>
        </w:rPr>
        <w:t>multiplied by</w:t>
      </w:r>
      <w:r>
        <w:rPr>
          <w:rFonts w:ascii="Times New Roman" w:hAnsi="Times New Roman"/>
          <w:sz w:val="20"/>
        </w:rPr>
        <w:t xml:space="preserve"> a fraction, the numerator of which is the Conversion Rate immediately prior to such adjustment giving rise to the ADS Price adjustment and the denominator of which is the Conversion Rate as so adjusted. The number of Additional ADSs set forth in the table below shall be adjusted in the same manner and at the same time as the Conversion Rate as set forth in Section 14.04.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following table sets forth the number of Additional ADSs by which the Conversion Rate shall be increased per $1,000 principal amount of Notes pursuant to this Section 14.03 for each ADS Price and Effective Date set forth below: </w:t>
      </w:r>
    </w:p>
    <w:p>
      <w:pPr>
        <w:pStyle w:val="TextBody"/>
        <w:bidi w:val="0"/>
        <w:spacing w:before="0" w:after="0"/>
        <w:jc w:val="left"/>
        <w:rPr/>
      </w:pPr>
      <w:r>
        <w:rPr/>
        <w:t> </w:t>
      </w:r>
    </w:p>
    <w:tbl>
      <w:tblPr>
        <w:tblW w:w="13355" w:type="dxa"/>
        <w:jc w:val="center"/>
        <w:tblInd w:w="0" w:type="dxa"/>
        <w:tblLayout w:type="fixed"/>
        <w:tblCellMar>
          <w:top w:w="0" w:type="dxa"/>
          <w:left w:w="0" w:type="dxa"/>
          <w:bottom w:w="0" w:type="dxa"/>
          <w:right w:w="0" w:type="dxa"/>
        </w:tblCellMar>
      </w:tblPr>
      <w:tblGrid>
        <w:gridCol w:w="1055"/>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64"/>
        <w:gridCol w:w="736"/>
        <w:gridCol w:w="60"/>
        <w:gridCol w:w="120"/>
        <w:gridCol w:w="79"/>
        <w:gridCol w:w="901"/>
        <w:gridCol w:w="60"/>
        <w:gridCol w:w="120"/>
        <w:gridCol w:w="79"/>
        <w:gridCol w:w="901"/>
        <w:gridCol w:w="60"/>
        <w:gridCol w:w="120"/>
        <w:gridCol w:w="79"/>
        <w:gridCol w:w="901"/>
        <w:gridCol w:w="60"/>
      </w:tblGrid>
      <w:tr>
        <w:trPr/>
        <w:tc>
          <w:tcPr>
            <w:tcW w:w="10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120" w:type="dxa"/>
            <w:gridSpan w:val="46"/>
            <w:tcBorders>
              <w:bottom w:val="single" w:sz="8" w:space="0" w:color="000000"/>
            </w:tcBorders>
            <w:tcMar>
              <w:bottom w:w="28" w:type="dxa"/>
            </w:tcMar>
            <w:vAlign w:val="bottom"/>
          </w:tcPr>
          <w:p>
            <w:pPr>
              <w:pStyle w:val="TableContents"/>
              <w:bidi w:val="0"/>
              <w:spacing w:before="0" w:after="283"/>
              <w:jc w:val="center"/>
              <w:rPr>
                <w:b/>
              </w:rPr>
            </w:pPr>
            <w:r>
              <w:rPr>
                <w:b/>
              </w:rPr>
              <w:t>ADS Price</w:t>
            </w:r>
          </w:p>
        </w:tc>
        <w:tc>
          <w:tcPr>
            <w:tcW w:w="60"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Effective Date</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$230.61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$380.50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$494.65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$550.00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$700.00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$800.00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$1,500,00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$2,500.00</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13, 2026</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1.7082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1.0778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0.8073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0.6857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0.4863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0.3966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0.3124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0.1731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0.1203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0.0600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0.0084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20"/>
              </w:rPr>
            </w:pPr>
            <w:r>
              <w:rPr>
                <w:rFonts w:ascii="Times New Roman" w:hAnsi="Times New Roman"/>
                <w:sz w:val="20"/>
              </w:rPr>
              <w:t>August 15, 2027</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1.7082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1.0720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0.7876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0.6612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0.4572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0.3670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0.2837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0.1497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0.1008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0.0471</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0.0048</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2028</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1.7082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1.0375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0.7397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0.6104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0.4066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0.3191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0.2400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0.1178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0.0755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0.0316</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0.0020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20"/>
              </w:rPr>
            </w:pPr>
            <w:r>
              <w:rPr>
                <w:rFonts w:ascii="Times New Roman" w:hAnsi="Times New Roman"/>
                <w:sz w:val="20"/>
              </w:rPr>
              <w:t>August 15, 2029</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1.7082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0.9242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0.6435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0.5219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0.3323</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0.2525</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0.1819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0.0786</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0.0457</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0.0150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August 15, 2030</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1.7082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0.8444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0.5377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0.4108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0.2263</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0.1562</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0.0997</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0.0304</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736" w:type="dxa"/>
            <w:tcBorders/>
            <w:shd w:fill="CCEEFF" w:val="clear"/>
            <w:vAlign w:val="bottom"/>
          </w:tcPr>
          <w:p>
            <w:pPr>
              <w:pStyle w:val="TableContents"/>
              <w:bidi w:val="0"/>
              <w:spacing w:before="0" w:after="283"/>
              <w:jc w:val="right"/>
              <w:rPr/>
            </w:pPr>
            <w:r>
              <w:rPr/>
              <w:t>0.0135</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0.0018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01" w:type="dxa"/>
            <w:tcBorders/>
            <w:shd w:fill="CCEEFF" w:val="clear"/>
            <w:vAlign w:val="bottom"/>
          </w:tcPr>
          <w:p>
            <w:pPr>
              <w:pStyle w:val="TableContents"/>
              <w:bidi w:val="0"/>
              <w:spacing w:before="0" w:after="283"/>
              <w:jc w:val="right"/>
              <w:rPr/>
            </w:pPr>
            <w:r>
              <w:rPr/>
              <w:t>0.0000</w:t>
            </w:r>
          </w:p>
        </w:tc>
        <w:tc>
          <w:tcPr>
            <w:tcW w:w="6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20"/>
              </w:rPr>
            </w:pPr>
            <w:r>
              <w:rPr>
                <w:rFonts w:ascii="Times New Roman" w:hAnsi="Times New Roman"/>
                <w:sz w:val="20"/>
              </w:rPr>
              <w:t>August 15, 2031</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1.7082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0.7052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0.2290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736"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01" w:type="dxa"/>
            <w:tcBorders/>
            <w:vAlign w:val="bottom"/>
          </w:tcPr>
          <w:p>
            <w:pPr>
              <w:pStyle w:val="TableContents"/>
              <w:bidi w:val="0"/>
              <w:spacing w:before="0" w:after="283"/>
              <w:jc w:val="right"/>
              <w:rPr/>
            </w:pPr>
            <w:r>
              <w:rPr/>
              <w:t>0.0000</w:t>
            </w:r>
          </w:p>
        </w:tc>
        <w:tc>
          <w:tcPr>
            <w:tcW w:w="60"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exact ADS Price and Effective Date may not be set forth in the table above, in which case: </w:t>
      </w:r>
    </w:p>
    <w:p>
      <w:pPr>
        <w:pStyle w:val="TextBody"/>
        <w:bidi w:val="0"/>
        <w:spacing w:before="120" w:after="0"/>
        <w:jc w:val="left"/>
        <w:rPr>
          <w:rFonts w:ascii="Times New Roman" w:hAnsi="Times New Roman"/>
          <w:sz w:val="20"/>
        </w:rPr>
      </w:pPr>
      <w:r>
        <w:rPr>
          <w:rFonts w:ascii="Times New Roman" w:hAnsi="Times New Roman"/>
          <w:sz w:val="20"/>
        </w:rPr>
        <w:t xml:space="preserve">(i) if the ADS Price is between two ADS Prices in the table above or the Effective Date is between two Effective Dates in the table, the number of Additional ADSs by which the Conversion Rate shall be increased shall be determined by a straight-line interpolation between the number of Additional ADSs set forth for the higher and lower ADS Prices and the earlier and later Effective Dates, as applicable, based on a 365-day year; </w:t>
      </w:r>
    </w:p>
    <w:p>
      <w:pPr>
        <w:pStyle w:val="TextBody"/>
        <w:bidi w:val="0"/>
        <w:spacing w:before="120" w:after="0"/>
        <w:jc w:val="left"/>
        <w:rPr>
          <w:rFonts w:ascii="Times New Roman" w:hAnsi="Times New Roman"/>
          <w:sz w:val="20"/>
        </w:rPr>
      </w:pPr>
      <w:r>
        <w:rPr>
          <w:rFonts w:ascii="Times New Roman" w:hAnsi="Times New Roman"/>
          <w:sz w:val="20"/>
        </w:rPr>
        <w:t xml:space="preserve">(ii) if the ADS Price is greater than $2,500.00 per ADS (subject to adjustment in the same manner as the ADS Prices set forth in the column headings of the table above pursuant to subsection (d) above), no Additional ADSs shall be added to the Conversion Rate; and </w:t>
      </w:r>
    </w:p>
    <w:p>
      <w:pPr>
        <w:pStyle w:val="TextBody"/>
        <w:bidi w:val="0"/>
        <w:spacing w:before="120" w:after="0"/>
        <w:jc w:val="left"/>
        <w:rPr>
          <w:rFonts w:ascii="Times New Roman" w:hAnsi="Times New Roman"/>
          <w:sz w:val="20"/>
        </w:rPr>
      </w:pPr>
      <w:r>
        <w:rPr>
          <w:rFonts w:ascii="Times New Roman" w:hAnsi="Times New Roman"/>
          <w:sz w:val="20"/>
        </w:rPr>
        <w:t xml:space="preserve">(iii) if the ADS Price is less than $230.61 per ADS (subject to adjustment in the same manner as the ADS Prices set forth in the column headings of the table above pursuant to subsection (d) above), no Additional ADSs shall be added to the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in no event shall the Conversion Rate per $1,000 principal amount of Notes exceed 4.3363 ADSs, subject to adjustment in the same manner as the Conversion Rate pursuant to Section 14.04. </w:t>
      </w:r>
    </w:p>
    <w:p>
      <w:pPr>
        <w:pStyle w:val="TextBody"/>
        <w:bidi w:val="0"/>
        <w:spacing w:before="240" w:after="0"/>
        <w:jc w:val="left"/>
        <w:rPr>
          <w:rFonts w:ascii="Times New Roman" w:hAnsi="Times New Roman"/>
          <w:sz w:val="20"/>
        </w:rPr>
      </w:pPr>
      <w:r>
        <w:rPr>
          <w:rFonts w:ascii="Times New Roman" w:hAnsi="Times New Roman"/>
          <w:sz w:val="20"/>
        </w:rPr>
        <w:t xml:space="preserve">(f) Nothing in this Section 14.03 shall prevent an adjustment to the Conversion Rate pursuant to Section 14.04 in respect of a Make-Whole Fundamental Change. </w:t>
      </w:r>
    </w:p>
    <w:p>
      <w:pPr>
        <w:pStyle w:val="TextBody"/>
        <w:bidi w:val="0"/>
        <w:spacing w:before="240" w:after="0"/>
        <w:jc w:val="left"/>
        <w:rPr>
          <w:rFonts w:ascii="Times New Roman" w:hAnsi="Times New Roman"/>
          <w:sz w:val="20"/>
        </w:rPr>
      </w:pPr>
      <w:r>
        <w:rPr>
          <w:rFonts w:ascii="Times New Roman" w:hAnsi="Times New Roman"/>
          <w:sz w:val="20"/>
        </w:rPr>
        <w:t>Section 14.04</w:t>
      </w:r>
      <w:r>
        <w:rPr>
          <w:rFonts w:ascii="Times New Roman" w:hAnsi="Times New Roman"/>
          <w:i/>
          <w:sz w:val="20"/>
        </w:rPr>
        <w:t>. Adjustment of Conversion Rate.</w:t>
      </w:r>
      <w:r>
        <w:rPr>
          <w:rFonts w:ascii="Times New Roman" w:hAnsi="Times New Roman"/>
          <w:sz w:val="20"/>
        </w:rPr>
        <w:t xml:space="preserve"> If the number of Ordinary Shares represented by each ADS is changed after the date of this Indenture for any reason other than one or more of the events described in this Section 14.04, the Company shall make an appropriate adjustment to the Conversion Rate such that the number of Ordinary Shares represented by the ADSs upon which conversion of the Notes is based remains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adjustment provisions described in this Section 14.04, if the Company distributes to holders of the Ordinary Shares any cash, rights, options, warrants, share capital or similar equity interest, evidences of indebtedness or other assets or property of the Company (but excluding Expiring Rights) and a corresponding distribution is not made to holders of the ADSs, but, instead, the ADSs shall represent, in addition to Ordinary Shares, such cash, rights, options, warrants, share capital or similar equity interest, evidences of indebtedness or other assets or property of the Company, then an adjustment to the Conversion Rate described in this Section 14.04 shall not be made until and unless a corresponding distribution (if any) is made to holders of the ADSs, and such adjustment to the Conversion Rate shall be based on the distribution made to the holders of the ADSs and not on the distribution made to the holders of the Ordinary Shares. However, in the event that the Company issues or distributes to all holders of the Ordinary Shares any Expiring Rights, notwithstanding the immediately preceding sentence, the Company shall adjust the Conversion Rate pursuant to Section 14.04(b) (in the case of Expiring Rights entitling holders of the Ordinary Shares (directly or in the form of ADSs) for a period of not more than 45 calendar days after the announcement date of such issuance to subscribe for or purchase Ordinary Shares (directly or in the form of ADSs)) or Section 14.04(c) (in the case of all other Expiring Rights).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any event described in this Section 14.04 results in a change to the number of Ordinary Shares represented by each ADS, then such a change shall be deemed to satisfy the Company’s obligation to effect the relevant adjustment to the Conversion Rate on account of such event to the extent such change produces the same economic result as the adjustment to the Conversion Rate that would otherwise have been made on account of such event.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the Conversion Rate shall be adjusted from time to time by the Company if any of the following events occurs, except that the Company shall not make any adjustments to the Conversion Rate if Holders of the Notes participate (other than in the case of (x) a share split or share combination or (y) a tender or exchange offer), at the same time and upon the same terms as holders of the ADSs and solely as a result of holding the Notes, in any of the transactions described in this Section 14.04, without having to convert their Notes, as if they held a number of ADSs equal to the Conversion Rate, </w:t>
      </w:r>
      <w:r>
        <w:rPr>
          <w:rFonts w:ascii="Times New Roman" w:hAnsi="Times New Roman"/>
          <w:i/>
          <w:sz w:val="20"/>
        </w:rPr>
        <w:t>multiplied by</w:t>
      </w:r>
      <w:r>
        <w:rPr>
          <w:rFonts w:ascii="Times New Roman" w:hAnsi="Times New Roman"/>
          <w:sz w:val="20"/>
        </w:rPr>
        <w:t xml:space="preserve"> the principal amount (expressed in thousands) of Notes held by such Holder. </w:t>
      </w:r>
    </w:p>
    <w:p>
      <w:pPr>
        <w:pStyle w:val="TextBody"/>
        <w:bidi w:val="0"/>
        <w:spacing w:before="240" w:after="0"/>
        <w:jc w:val="left"/>
        <w:rPr>
          <w:rFonts w:ascii="Times New Roman" w:hAnsi="Times New Roman"/>
          <w:sz w:val="20"/>
        </w:rPr>
      </w:pPr>
      <w:r>
        <w:rPr>
          <w:rFonts w:ascii="Times New Roman" w:hAnsi="Times New Roman"/>
          <w:sz w:val="20"/>
        </w:rPr>
        <w:t xml:space="preserve">(a) If the Company exclusively issues to all or substantially all holders of the Ordinary Shares a dividend or distribution of Ordinary Shares on the Ordinary Shares, or if the Company effects a share split or share combination in respect of the Ordinary Shares, the Conversion Rate shall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923925" cy="3479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3479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CR0  =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prior to the open of business on the Ex-Dividend Date of such dividend or distribution, or immediately prior to the open of business on the Effective Date of such share split or share combination, as applicable;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after the open of business on such Ex-Dividend Date or Effective Date,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OS0  =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(directly or in the form of ADSs) outstanding immediately prior to the open of business on such Ex-Dividend Date or Effective Date, as applicable (before giving effect to any such dividend, distribution, share split or share combination, as the case may be);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OS’  =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(directly or in the form of ADSs) outstanding immediately after giving effect to such dividend, distribution, share split or share combination, as the case may be.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adjustment made under this Section 14.04(a)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14.04(a)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 </w:t>
      </w:r>
    </w:p>
    <w:p>
      <w:pPr>
        <w:pStyle w:val="TextBody"/>
        <w:bidi w:val="0"/>
        <w:spacing w:before="240" w:after="0"/>
        <w:jc w:val="left"/>
        <w:rPr>
          <w:rFonts w:ascii="Times New Roman" w:hAnsi="Times New Roman"/>
          <w:sz w:val="20"/>
        </w:rPr>
      </w:pPr>
      <w:r>
        <w:rPr>
          <w:rFonts w:ascii="Times New Roman" w:hAnsi="Times New Roman"/>
          <w:sz w:val="20"/>
        </w:rPr>
        <w:t xml:space="preserve">(b) If the Company issues to all or substantially all holders of the Ordinary Shares (directly or in the form of ADSs) any rights, options or warrants (other than a distribution of rights pursuant to a shareholder rights plan) entitling them, for a period of not more than 45 calendar days after the announcement date of such issuance, to subscribe for or purchase Ordinary Shares (directly or in the form of ADSs) at a price per Ordinary Share that is less than (i) the average of the Last Reported Sale Prices of the ADSs for the 10 consecutive Trading Day period ending on, and including, the Trading Day immediately preceding the date of announcement of such issuance </w:t>
      </w:r>
      <w:r>
        <w:rPr>
          <w:rFonts w:ascii="Times New Roman" w:hAnsi="Times New Roman"/>
          <w:i/>
          <w:sz w:val="20"/>
        </w:rPr>
        <w:t>divided by</w:t>
      </w:r>
      <w:r>
        <w:rPr>
          <w:rFonts w:ascii="Times New Roman" w:hAnsi="Times New Roman"/>
          <w:sz w:val="20"/>
        </w:rPr>
        <w:t xml:space="preserve"> (ii) the number of Ordinary Shares then represented by one ADS,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200150" cy="34798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0150" cy="3479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prior to the open of business on the Ex-Dividend Date for such issuance;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after the open of business on such Ex-Dividend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OS0  =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(directly or in the form of ADSs) outstanding immediately prior to the open of business on such Ex-Dividend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X     =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total number of Ordinary Shares (directly or in the form of ADSs) issuable pursuant to such rights, options or warrants;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Y     =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equal to (i) the aggregate price payable to exercise such rights, options or warrants, </w:t>
            </w:r>
            <w:r>
              <w:rPr>
                <w:rFonts w:ascii="Times New Roman" w:hAnsi="Times New Roman"/>
                <w:i/>
                <w:sz w:val="20"/>
              </w:rPr>
              <w:t xml:space="preserve">divided by </w:t>
            </w:r>
            <w:r>
              <w:rPr>
                <w:rFonts w:ascii="Times New Roman" w:hAnsi="Times New Roman"/>
                <w:sz w:val="20"/>
              </w:rPr>
              <w:t xml:space="preserve">(ii) (a) the average of the Last Reported Sale Prices of the ADSs over the 10 consecutive Trading Day period ending on, and including, the Trading Day immediately preceding the date of announcement of the issuance of such rights, options or warrants </w:t>
            </w:r>
            <w:r>
              <w:rPr>
                <w:rFonts w:ascii="Times New Roman" w:hAnsi="Times New Roman"/>
                <w:i/>
                <w:sz w:val="20"/>
              </w:rPr>
              <w:t>divided by</w:t>
            </w:r>
            <w:r>
              <w:rPr>
                <w:rFonts w:ascii="Times New Roman" w:hAnsi="Times New Roman"/>
                <w:sz w:val="20"/>
              </w:rPr>
              <w:t xml:space="preserve"> (b) the number of Ordinary Shares then represented by one ADS.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made under this Section 14.04(b) shall be made successively whenever any such rights, options or warrants are issued and shall become effective immediately after the open of business on the Ex-Dividend Date for such issuance. To the extent that the Ordinary Shares (directly or in the form of ADSs)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Ordinary Shares (directly or in the form of ADSs) actually delivered. If such rights, options or warrants are not so issued, the Conversion Rate shall be decreased to the Conversion Rate that would then be in effect if such Ex-Dividend Date for such issuance had not occurred.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14.04(b) and for the purpose of Section 14.01(b)(ii)(A), in determining whether any rights, options or warrants entitle the holders of the Ordinary Shares (directly or in the form of ADSs) to subscribe for or purchase the Ordinary Shares (directly or in the form of ADSs) at a price per share that is less than (i) such average of the Last Reported Sale Prices of the ADSs for the 10 consecutive Trading Day period ending on, and including, the Trading Day immediately preceding the date of announcement for such issuance </w:t>
      </w:r>
      <w:r>
        <w:rPr>
          <w:rFonts w:ascii="Times New Roman" w:hAnsi="Times New Roman"/>
          <w:i/>
          <w:sz w:val="20"/>
        </w:rPr>
        <w:t>divided by</w:t>
      </w:r>
      <w:r>
        <w:rPr>
          <w:rFonts w:ascii="Times New Roman" w:hAnsi="Times New Roman"/>
          <w:sz w:val="20"/>
        </w:rPr>
        <w:t xml:space="preserve"> (ii) the number of Ordinary Shares then represented by one ADS, and in determining the aggregate offering price of such Ordinary Shares (directly or in the form of ADSs), there shall be taken into account any consideration received by the Company for such rights, options or warrants and any amount payable on exercise or conversion thereof, the value of such consideration, if other than cash, to be determined by the Board of Directors. </w:t>
      </w:r>
    </w:p>
    <w:p>
      <w:pPr>
        <w:pStyle w:val="TextBody"/>
        <w:bidi w:val="0"/>
        <w:spacing w:before="240" w:after="0"/>
        <w:jc w:val="left"/>
        <w:rPr>
          <w:rFonts w:ascii="Times New Roman" w:hAnsi="Times New Roman"/>
          <w:sz w:val="20"/>
        </w:rPr>
      </w:pPr>
      <w:r>
        <w:rPr>
          <w:rFonts w:ascii="Times New Roman" w:hAnsi="Times New Roman"/>
          <w:sz w:val="20"/>
        </w:rPr>
        <w:t>(c) If the Company distributes its share capital, evidences of its indebtedness, other assets or property of the Company or rights, options or warrants to acquire its share capital or other securities, to all or substantially all holders of the Ordinary Shares (directly or in the form of ADSs), excluding (i) dividends, distributions or issuances (including share splits) as to which an adjustment was effected (or would have been effected but for the 1% Exception) pursuant to Section 14.04(a) or Section 14.04(b), (ii) dividends or distributions paid exclusively in cash as to which the provisions set forth in Section 14.04(d) shall apply, (iii) except as otherwise described in Section 14.11, a distribution of rights pursuant to a shareholder rights plan of the Company; (iv) distributions of Reference Property issued in exchange for, or upon conversion of, the Ordinary Shares or the ADSs pursuant to Section 14.07; and (v) Spin-Offs as to which the provisions set forth below in this Section 14.04(c) shall apply (any of such share capital, evidences of indebtedness, other assets or property or rights, options or warrants to acquire share capital or other securities, the “</w:t>
      </w:r>
      <w:r>
        <w:rPr>
          <w:rFonts w:ascii="Times New Roman" w:hAnsi="Times New Roman"/>
          <w:b/>
          <w:sz w:val="20"/>
        </w:rPr>
        <w:t>Distributed Property</w:t>
      </w:r>
      <w:r>
        <w:rPr>
          <w:rFonts w:ascii="Times New Roman" w:hAnsi="Times New Roman"/>
          <w:sz w:val="20"/>
        </w:rPr>
        <w:t xml:space="preserve">”), then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318895" cy="3397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18895" cy="3397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prior to the open of business on the Ex-Dividend Date for such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after the open of business on such Ex-Dividend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SP0   =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average of the Last Reported Sale Prices of the ADSs over the 10 consecutive Trading Day period ending on, and including, the Trading Day immediately preceding the Ex-Dividend Date for such distribution </w:t>
            </w:r>
            <w:r>
              <w:rPr>
                <w:rFonts w:ascii="Times New Roman" w:hAnsi="Times New Roman"/>
                <w:i/>
                <w:sz w:val="20"/>
              </w:rPr>
              <w:t>divided by</w:t>
            </w:r>
            <w:r>
              <w:rPr>
                <w:rFonts w:ascii="Times New Roman" w:hAnsi="Times New Roman"/>
                <w:sz w:val="20"/>
              </w:rPr>
              <w:t xml:space="preserve"> (ii) the number of Ordinary Shares then represented by one ADS;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FMV =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(as determined by the Board of Directors) of the Distributed Property with respect to each outstanding Ordinary Share (directly or in the form of ADSs) on the Ex-Dividend Date for such distribution.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made under the portion of this Section 14.04(c) above shall become effective immediately after the open of business on the Ex-Dividend Date for such distribution. If such distribution is not so paid or made, the Conversion Rate shall be decreased to the Conversion Rate that would then be in effect if such distribution had not been declared. Notwithstanding the foregoing, if “FMV” (as defined above) is equal to or greater than “SP0” (as defined above), in lieu of the foregoing increase, each Holder of a Note shall receive, in respect of each $1,000 principal amount thereof, at the same time and upon the same terms as holders of the ADSs receive the Distributed Property, the amount and kind of Distributed Property such Holder would have received if such Holder owned a number of ADSs equal to the Conversion Rate in effect on the Ex-Dividend Date for the distribution. </w:t>
      </w:r>
    </w:p>
    <w:p>
      <w:pPr>
        <w:pStyle w:val="TextBody"/>
        <w:bidi w:val="0"/>
        <w:spacing w:before="240" w:after="0"/>
        <w:jc w:val="left"/>
        <w:rPr>
          <w:rFonts w:ascii="Times New Roman" w:hAnsi="Times New Roman"/>
          <w:sz w:val="20"/>
        </w:rPr>
      </w:pPr>
      <w:r>
        <w:rPr>
          <w:rFonts w:ascii="Times New Roman" w:hAnsi="Times New Roman"/>
          <w:sz w:val="20"/>
        </w:rPr>
        <w:t>With respect to an adjustment pursuant to this Section 14.04(c) where there has been a payment of a dividend or other distribution on the Ordinary Shares (directly or in the form of ADSs) of share capital of any class or series, or similar equity interest, of or relating to a Subsidiary or other business unit of the Company, that are, or, when issued, will be, listed or admitted for trading on a U.S. national securities exchange (a “</w:t>
      </w:r>
      <w:r>
        <w:rPr>
          <w:rFonts w:ascii="Times New Roman" w:hAnsi="Times New Roman"/>
          <w:b/>
          <w:sz w:val="20"/>
        </w:rPr>
        <w:t>Spin-Off</w:t>
      </w:r>
      <w:r>
        <w:rPr>
          <w:rFonts w:ascii="Times New Roman" w:hAnsi="Times New Roman"/>
          <w:sz w:val="20"/>
        </w:rPr>
        <w:t xml:space="preserve">”),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724025" cy="457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24025"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prior to the end of the Valuation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CR’  =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after the end of the Valuation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FMV0  =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average of the Last Reported Sale Prices of the share capital or similar equity interest distributed to holders of the Ordinary Shares (directly or in the form of ADSs) applicable to one Ordinary Share (determined by reference to the definition of Last Reported Sale Price as set forth in Section 1.01 as if references therein to ADSs were to such share capital or similar equity interest) over the first 10 consecutive Trading Day period after, and including, the Ex-Dividend Date of the Spin-Off (the “</w:t>
            </w:r>
            <w:r>
              <w:rPr>
                <w:rFonts w:ascii="Times New Roman" w:hAnsi="Times New Roman"/>
                <w:b/>
                <w:sz w:val="20"/>
              </w:rPr>
              <w:t>Valuation Period</w:t>
            </w:r>
            <w:r>
              <w:rPr>
                <w:rFonts w:ascii="Times New Roman" w:hAnsi="Times New Roman"/>
                <w:sz w:val="20"/>
              </w:rPr>
              <w:t xml:space="preserve">”);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MP0  =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average of the Last Reported Sale Prices of the ADSs over the Valuation Period </w:t>
            </w:r>
            <w:r>
              <w:rPr>
                <w:rFonts w:ascii="Times New Roman" w:hAnsi="Times New Roman"/>
                <w:i/>
                <w:sz w:val="20"/>
              </w:rPr>
              <w:t>divided by</w:t>
            </w:r>
            <w:r>
              <w:rPr>
                <w:rFonts w:ascii="Times New Roman" w:hAnsi="Times New Roman"/>
                <w:sz w:val="20"/>
              </w:rPr>
              <w:t xml:space="preserve"> (ii) the number of Ordinary Shares then represented by one ADS.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to the Conversion Rate under the preceding paragraph shall occur at the close of business on the last Trading Day of the Valuation Period; </w:t>
      </w:r>
      <w:r>
        <w:rPr>
          <w:rFonts w:ascii="Times New Roman" w:hAnsi="Times New Roman"/>
          <w:i/>
          <w:sz w:val="20"/>
        </w:rPr>
        <w:t>provided</w:t>
      </w:r>
      <w:r>
        <w:rPr>
          <w:rFonts w:ascii="Times New Roman" w:hAnsi="Times New Roman"/>
          <w:sz w:val="20"/>
        </w:rPr>
        <w:t xml:space="preserve"> that in respect of any conversion of Notes, for any Trading Day that falls within the relevant Observation Period for such conversion and within the Valuation Period, references to “10” in the preceding paragraph shall be deemed to be replaced with such lesser number of Trading Days as have elapsed from, and including, the Ex-Dividend Date of such Spin-Off to, and including, such Trading Day in determining the Conversion Rate as of such Trading Day of such Observation Period. </w:t>
      </w:r>
    </w:p>
    <w:p>
      <w:pPr>
        <w:pStyle w:val="TextBody"/>
        <w:bidi w:val="0"/>
        <w:spacing w:before="240" w:after="0"/>
        <w:jc w:val="left"/>
        <w:rPr>
          <w:rFonts w:ascii="Times New Roman" w:hAnsi="Times New Roman"/>
          <w:sz w:val="20"/>
        </w:rPr>
      </w:pPr>
      <w:r>
        <w:rPr>
          <w:rFonts w:ascii="Times New Roman" w:hAnsi="Times New Roman"/>
          <w:sz w:val="20"/>
        </w:rPr>
        <w:t>For purposes of this Section 14.04(c) (and subject in all respect to Section 14.11), rights, options or warrants distributed by the Company to all holders of the Ordinary Shares (directly or in the form of ADSs) entitling them to subscribe for or purchase the Company’s share capital, including the Ordinary Shares (directly or in the form of ADSs) (either initially or under certain circumstances), which rights, options or warrants, until the occurrence of a specified event or events (“</w:t>
      </w:r>
      <w:r>
        <w:rPr>
          <w:rFonts w:ascii="Times New Roman" w:hAnsi="Times New Roman"/>
          <w:b/>
          <w:sz w:val="20"/>
        </w:rPr>
        <w:t>Trigger Event</w:t>
      </w:r>
      <w:r>
        <w:rPr>
          <w:rFonts w:ascii="Times New Roman" w:hAnsi="Times New Roman"/>
          <w:sz w:val="20"/>
        </w:rPr>
        <w:t xml:space="preserve">”): (i) are deemed to be transferred with such Ordinary Shares (directly or in the form of ADSs); (ii) are not exercisable; and (iii) are also issued in respect of future issuances of the Ordinary Shares (directly or in the form of ADSs), shall be deemed not to have been distributed for purposes of this Section 14.04(c) (and no adjustment to the Conversion Rate under this Section 14.04(c) will be required) until the occurrence of the earliest Trigger Event, whereupon such rights, options or warrants shall be deemed to have been distributed and an appropriate adjustment (if any is required) to the Conversion Rate shall be made under this Section 14.04(c).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Ordinary Share redemption or purchase price received by a holder or holders of the Ordinary Shares (directly or in the form of ADSs) with respect to such rights, options or warrants (assuming such holder had retained such rights, options or warrants), made to all holders of Ordinary Shares (directly or in the form of ADSs)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purposes of Section 14.04(a), Section 14.04(b) and this Section 14.04(c), if any dividend or distribution to which this Section 14.04(c) is applicable also includes one or both of: </w:t>
      </w:r>
    </w:p>
    <w:p>
      <w:pPr>
        <w:pStyle w:val="TextBody"/>
        <w:bidi w:val="0"/>
        <w:spacing w:before="120" w:after="0"/>
        <w:jc w:val="left"/>
        <w:rPr>
          <w:rFonts w:ascii="Times New Roman" w:hAnsi="Times New Roman"/>
          <w:sz w:val="20"/>
        </w:rPr>
      </w:pPr>
      <w:r>
        <w:rPr>
          <w:rFonts w:ascii="Times New Roman" w:hAnsi="Times New Roman"/>
          <w:sz w:val="20"/>
        </w:rPr>
        <w:t>(A) a dividend or distribution of Ordinary Shares to which Section 14.04(a) is applicable (the “</w:t>
      </w:r>
      <w:r>
        <w:rPr>
          <w:rFonts w:ascii="Times New Roman" w:hAnsi="Times New Roman"/>
          <w:b/>
          <w:sz w:val="20"/>
        </w:rPr>
        <w:t>Clause A Distribution</w:t>
      </w:r>
      <w:r>
        <w:rPr>
          <w:rFonts w:ascii="Times New Roman" w:hAnsi="Times New Roman"/>
          <w:sz w:val="20"/>
        </w:rPr>
        <w:t xml:space="preserve">”); or </w:t>
      </w:r>
    </w:p>
    <w:p>
      <w:pPr>
        <w:pStyle w:val="TextBody"/>
        <w:bidi w:val="0"/>
        <w:spacing w:before="240" w:after="0"/>
        <w:jc w:val="left"/>
        <w:rPr>
          <w:rFonts w:ascii="Times New Roman" w:hAnsi="Times New Roman"/>
          <w:sz w:val="20"/>
        </w:rPr>
      </w:pPr>
      <w:r>
        <w:rPr>
          <w:rFonts w:ascii="Times New Roman" w:hAnsi="Times New Roman"/>
          <w:sz w:val="20"/>
        </w:rPr>
        <w:t>(B) a dividend or distribution of rights, options or warrants to which Section 14.04(b) is applicable (the “</w:t>
      </w:r>
      <w:r>
        <w:rPr>
          <w:rFonts w:ascii="Times New Roman" w:hAnsi="Times New Roman"/>
          <w:b/>
          <w:sz w:val="20"/>
        </w:rPr>
        <w:t>Clause B Distribution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then, in either case, (1) such dividend or distribution, other than the Clause A Distribution and the Clause B Distribution, shall be deemed to be a dividend or distribution to which this Section 14.04(c) is applicable (the “</w:t>
      </w:r>
      <w:r>
        <w:rPr>
          <w:rFonts w:ascii="Times New Roman" w:hAnsi="Times New Roman"/>
          <w:b/>
          <w:sz w:val="20"/>
        </w:rPr>
        <w:t>Clause C Distribution</w:t>
      </w:r>
      <w:r>
        <w:rPr>
          <w:rFonts w:ascii="Times New Roman" w:hAnsi="Times New Roman"/>
          <w:sz w:val="20"/>
        </w:rPr>
        <w:t xml:space="preserve">”) and any Conversion Rate adjustment required by this Section 14.04(c) with respect to such Clause C Distribution shall then be made, and (2) the Clause A Distribution and Clause B Distribution shall be deemed to immediately follow the Clause C Distribution and any Conversion Rate adjustment required by Section 14.04(a) and Section 14.04(b) with respect thereto shall then be made, except that, if determined by the Company (I) the “Ex-Dividend Date” of the Clause A Distribution and the Clause B Distribution shall be deemed to be the Ex-Dividend Date of the Clause C Distribution and (II) any Ordinary Shares (directly or in the form of ADSs) included in the Clause A Distribution or Clause B Distribution shall be deemed not to be “outstanding immediately prior to the open of business on such Ex-Dividend Date or Effective Date” within the meaning of Section 14.04(a) or “outstanding immediately prior to the open of business on such Ex-Dividend Date” within the meaning of Section 14.04(b). </w:t>
      </w:r>
    </w:p>
    <w:p>
      <w:pPr>
        <w:pStyle w:val="TextBody"/>
        <w:bidi w:val="0"/>
        <w:spacing w:before="240" w:after="0"/>
        <w:jc w:val="left"/>
        <w:rPr>
          <w:rFonts w:ascii="Times New Roman" w:hAnsi="Times New Roman"/>
          <w:sz w:val="20"/>
        </w:rPr>
      </w:pPr>
      <w:r>
        <w:rPr>
          <w:rFonts w:ascii="Times New Roman" w:hAnsi="Times New Roman"/>
          <w:sz w:val="20"/>
        </w:rPr>
        <w:t xml:space="preserve">(d) If any cash dividend or distribution is made to all or substantially all holders of the Ordinary Shares (directly or in the form of ADSs), the Conversion Rate shall be adjusted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223645" cy="3321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23645" cy="33210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prior to the open of business on the Ex-Dividend Date for such dividend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after the open of business on the Ex-Dividend Date for such dividend or distribution;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SP0   =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Last Reported Sale Price of the ADSs on the Trading Day immediately preceding the Ex-Dividend Date for such dividend or distribution </w:t>
            </w:r>
            <w:r>
              <w:rPr>
                <w:rFonts w:ascii="Times New Roman" w:hAnsi="Times New Roman"/>
                <w:i/>
                <w:sz w:val="20"/>
              </w:rPr>
              <w:t>divided by</w:t>
            </w:r>
            <w:r>
              <w:rPr>
                <w:rFonts w:ascii="Times New Roman" w:hAnsi="Times New Roman"/>
                <w:sz w:val="20"/>
              </w:rPr>
              <w:t xml:space="preserve"> (ii) the number of Ordinary Shares then represented by one ADS;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C     =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amount in cash per Ordinary Share the Company distributes to all or substantially all holders of the Ordinary Shares (directly or in the form of ADSs).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increase pursuant to this Section 14.04(d)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“SP0” (as defined above), in lieu of the foregoing increase, each Holder of a Note shall receive, for each $1,000 principal amount of Notes it holds, at the same time and upon the same terms as holders of the ADSs, the amount of cash that such Holder would have received if such Holder owned a number of ADSs equal to the Conversion Rate in effect on the Ex-Dividend Date for such cash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(e) If the Company or any of its Subsidiaries make a payment in respect of a tender or exchange offer for the Ordinary Shares (directly or in the form of ADSs) that is subject to the then applicable tender offer rules under the Exchange Act (other than an odd-lot tender offer pursuant to Rule 13e-4(h)(5) under the Exchange Act or any successor rule), to the extent that the cash and value of any other consideration included in the payment per Ordinary Share exceeds (i) the average of the Last Reported Sale Prices of the ADSs over the 10 consecutive Trading Day period commencing on, and including, the Trading Day next succeeding the last date on which tenders or exchanges may be made pursuant to such tender or exchange offer </w:t>
      </w:r>
      <w:r>
        <w:rPr>
          <w:rFonts w:ascii="Times New Roman" w:hAnsi="Times New Roman"/>
          <w:i/>
          <w:sz w:val="20"/>
        </w:rPr>
        <w:t>divided by</w:t>
      </w:r>
      <w:r>
        <w:rPr>
          <w:rFonts w:ascii="Times New Roman" w:hAnsi="Times New Roman"/>
          <w:sz w:val="20"/>
        </w:rPr>
        <w:t xml:space="preserve"> (ii) the number of Ordinary Shares then represented by one ADS, the Conversion Rate shall be increased based on the following formula: </w:t>
      </w:r>
    </w:p>
    <w:p>
      <w:pPr>
        <w:pStyle w:val="TextBody"/>
        <w:bidi w:val="0"/>
        <w:spacing w:before="0" w:after="0"/>
        <w:jc w:val="left"/>
        <w:rPr/>
      </w:pPr>
      <w:r>
        <w:rPr/>
        <w:t> </w:t>
      </w:r>
    </w:p>
    <w:p>
      <w:pPr>
        <w:pStyle w:val="TextBody"/>
        <w:bidi w:val="0"/>
        <w:spacing w:before="0" w:after="0"/>
        <w:jc w:val="center"/>
        <w:rPr/>
      </w:pPr>
      <w:r>
        <w:rPr/>
        <w:drawing>
          <wp:inline distT="0" distB="0" distL="0" distR="0">
            <wp:extent cx="1595120" cy="3556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95120" cy="3556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CR0  =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the Conversion Rate in effect immediately prior to the close of business on the 10th Trading Day immediately following, and including, the Trading Day next succeeding the date such tender or exchange offer expires (the date such tender or exchange offer expires, the “</w:t>
            </w:r>
            <w:r>
              <w:rPr>
                <w:rFonts w:ascii="Times New Roman" w:hAnsi="Times New Roman"/>
                <w:b/>
                <w:sz w:val="20"/>
              </w:rPr>
              <w:t>Expiration Date</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CR’  =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Conversion Rate in effect immediately after the close of business on the 10th Trading Day immediately following, and including, the Trading Day next succeeding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AC   =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value of all cash and any other consideration (as determined by the Board of Directors) paid or payable for the Ordinary Shares (directly or in the form of ADSs) purchased in such tender or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OS0  =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(directly or in the form of ADSs) outstanding immediately prior to the Expiration Date (prior to giving effect to the purchase of all Ordinary Shares accepted for purchase or exchange in such tender or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OS’  =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Ordinary Shares (directly or in the form of ADSs) outstanding immediately after the Expiration Date (after giving effect to the purchase of all Ordinary Shares accepted for purchase or exchange in such tender or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SP’   =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 the average of the Last Reported Sale Prices of the ADSs over the 10 consecutive Trading Day period commencing on, and including, the Trading Day next succeeding the Expiration Date </w:t>
            </w:r>
            <w:r>
              <w:rPr>
                <w:rFonts w:ascii="Times New Roman" w:hAnsi="Times New Roman"/>
                <w:i/>
                <w:sz w:val="20"/>
              </w:rPr>
              <w:t>divided by</w:t>
            </w:r>
            <w:r>
              <w:rPr>
                <w:rFonts w:ascii="Times New Roman" w:hAnsi="Times New Roman"/>
                <w:sz w:val="20"/>
              </w:rPr>
              <w:t xml:space="preserve"> (ii) the number of Ordinary Shares then represented by one ADS.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increase to the Conversion Rate under this Section 14.04(e) shall occur at the close of business on the 10th Trading Day immediately following, and including, the Trading Day next succeeding the date such tender or exchange offer expires; </w:t>
      </w:r>
      <w:r>
        <w:rPr>
          <w:rFonts w:ascii="Times New Roman" w:hAnsi="Times New Roman"/>
          <w:i/>
          <w:sz w:val="20"/>
        </w:rPr>
        <w:t>provided</w:t>
      </w:r>
      <w:r>
        <w:rPr>
          <w:rFonts w:ascii="Times New Roman" w:hAnsi="Times New Roman"/>
          <w:sz w:val="20"/>
        </w:rPr>
        <w:t xml:space="preserve"> that in respect of any conversion of Notes, for any Trading Day that falls within the relevant Observation Period for such conversion and within the 10 Trading Days immediately following, and including, the Trading Day next succeeding the expiration date of any tender or exchange offer, references to “10” or “10th” in the preceding paragraph shall be deemed replaced with such lesser number of Trading Days as have elapsed from, and including, the Trading Day next succeeding the expiration date of such tender or exchange offer to, and including, such Trading Day in determining the Conversion Rate as of such Trading Day of such Observation Period.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or one of the Company’s Subsidiaries is obligated to purchase the Ordinary Shares (directly or in the form of ADSs) pursuant to any such tender or exchange offer described in this subsection (e) but the Company is, or such Subsidiary is, permanently prevented by applicable law from effecting any such purchase or all such purchases are rescinded, the Conversion Rate shall be readjusted to be the Conversion Rate that would then be in effect if such tender or exchange offer had not been made or had been made only in respect of the purchases that have been made.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the foregoing, if </w:t>
      </w:r>
    </w:p>
    <w:p>
      <w:pPr>
        <w:pStyle w:val="TextBody"/>
        <w:bidi w:val="0"/>
        <w:spacing w:before="120" w:after="0"/>
        <w:jc w:val="left"/>
        <w:rPr>
          <w:rFonts w:ascii="Times New Roman" w:hAnsi="Times New Roman"/>
          <w:sz w:val="20"/>
        </w:rPr>
      </w:pPr>
      <w:r>
        <w:rPr>
          <w:rFonts w:ascii="Times New Roman" w:hAnsi="Times New Roman"/>
          <w:sz w:val="20"/>
        </w:rPr>
        <w:t xml:space="preserve">(i) an adjustment to the Conversion Rate pursuant to this Section 14.04 for any dividend or distribution becomes effective on any Ex-Dividend Date as described in this Section 14.04, </w:t>
      </w:r>
    </w:p>
    <w:p>
      <w:pPr>
        <w:pStyle w:val="TextBody"/>
        <w:bidi w:val="0"/>
        <w:spacing w:before="120" w:after="0"/>
        <w:jc w:val="left"/>
        <w:rPr>
          <w:rFonts w:ascii="Times New Roman" w:hAnsi="Times New Roman"/>
          <w:sz w:val="20"/>
        </w:rPr>
      </w:pPr>
      <w:r>
        <w:rPr>
          <w:rFonts w:ascii="Times New Roman" w:hAnsi="Times New Roman"/>
          <w:sz w:val="20"/>
        </w:rPr>
        <w:t xml:space="preserve">(ii) a Note is to be converted and the related Cash Percentage for such conversion is less than 100%, </w:t>
      </w:r>
    </w:p>
    <w:p>
      <w:pPr>
        <w:pStyle w:val="TextBody"/>
        <w:bidi w:val="0"/>
        <w:spacing w:before="120" w:after="0"/>
        <w:jc w:val="left"/>
        <w:rPr>
          <w:rFonts w:ascii="Times New Roman" w:hAnsi="Times New Roman"/>
          <w:sz w:val="20"/>
        </w:rPr>
      </w:pPr>
      <w:r>
        <w:rPr>
          <w:rFonts w:ascii="Times New Roman" w:hAnsi="Times New Roman"/>
          <w:sz w:val="20"/>
        </w:rPr>
        <w:t xml:space="preserve">(iii) any Trading Day in the Observation Period for such conversion occurs on or after such Ex-Dividend Date and on or before the related Record Date, </w:t>
      </w:r>
    </w:p>
    <w:p>
      <w:pPr>
        <w:pStyle w:val="TextBody"/>
        <w:bidi w:val="0"/>
        <w:spacing w:before="120" w:after="0"/>
        <w:jc w:val="left"/>
        <w:rPr>
          <w:rFonts w:ascii="Times New Roman" w:hAnsi="Times New Roman"/>
          <w:sz w:val="20"/>
        </w:rPr>
      </w:pPr>
      <w:r>
        <w:rPr>
          <w:rFonts w:ascii="Times New Roman" w:hAnsi="Times New Roman"/>
          <w:sz w:val="20"/>
        </w:rPr>
        <w:t xml:space="preserve">(iv) the consideration due with respect to such Trading Day includes any ADSs based on a Conversion Rate that is adjusted for such dividend or distribution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such ADSs would be entitled to participate in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then, notwithstanding anything to the contrary, the Conversion Rate adjustment relating to such Ex-Dividend Date will be made for such conversion in respect of such Trading Day, but the ADSs issuable with respect to such Trading Day based on such adjusted Conversion Rate will not be entitled to participate in such dividend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(g) Except as stated herein, the Company shall not adjust the Conversion Rate for the issuance of Ordinary Shares (directly or in the form of ADSs) or any securities convertible into or exchangeable for Ordinary Shares (directly or in the form of ADSs) or the right to purchase Ordinary Shares (directly or in the form of ADSs) or such convertible or exchangeable securities. </w:t>
      </w:r>
    </w:p>
    <w:p>
      <w:pPr>
        <w:pStyle w:val="TextBody"/>
        <w:bidi w:val="0"/>
        <w:spacing w:before="240" w:after="0"/>
        <w:jc w:val="left"/>
        <w:rPr>
          <w:rFonts w:ascii="Times New Roman" w:hAnsi="Times New Roman"/>
          <w:sz w:val="20"/>
        </w:rPr>
      </w:pPr>
      <w:r>
        <w:rPr>
          <w:rFonts w:ascii="Times New Roman" w:hAnsi="Times New Roman"/>
          <w:sz w:val="20"/>
        </w:rPr>
        <w:t xml:space="preserve">(h) In addition to those adjustments required by clauses (a), (b), (c), (d) and (e) of this Section 14.04, and to the extent permitted by applicable law and subject to the applicable rules of any exchange on which any of the Company’s securities are then listed, the Company from time to time may increase the Conversion Rate by any amount for a period of at least 20 Business Days if the Board of Directors determines that such increase would be in the Company’s best interest. In addition, to the extent permitted by applicable law and subject to the applicable rules of any exchange on which any of the Company’s securities are then listed, the Company may (but is not required to) increase the Conversion Rate to avoid or diminish any income tax to holders of the Ordinary Shares or ADSs or rights to purchase the Ordinary Shares or ADSs in connection with a dividend or distribution of Ordinary Shares or ADSs (or rights to acquire Ordinary Shares or ADSs) or similar event. Whenever the Conversion Rate is increased pursuant to either of the preceding two sentences, the Company shall deliver to the Holder of each Note, the Trustee and the Conversion Agent (if other than the Trustee) a notice of the increase at least 15 days prior to the date the increased Conversion Rate takes effect, and such notice shall state the increased Conversion Rate and the period during which it will be in effect.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to the contrary in this Article 14, the Conversion Rate shall not be adjusted: </w:t>
      </w:r>
    </w:p>
    <w:p>
      <w:pPr>
        <w:pStyle w:val="TextBody"/>
        <w:bidi w:val="0"/>
        <w:spacing w:before="120" w:after="0"/>
        <w:jc w:val="left"/>
        <w:rPr>
          <w:rFonts w:ascii="Times New Roman" w:hAnsi="Times New Roman"/>
          <w:sz w:val="20"/>
        </w:rPr>
      </w:pPr>
      <w:r>
        <w:rPr>
          <w:rFonts w:ascii="Times New Roman" w:hAnsi="Times New Roman"/>
          <w:sz w:val="20"/>
        </w:rPr>
        <w:t xml:space="preserve">(i) upon the issuance of any Ordinary Shares or ADSs pursuant to any present or future plan providing for the reinvestment of dividends or interest payable on the Company’s securities and the investment of additional optional amounts in Ordinary Shares or ADSs under any plan; </w:t>
      </w:r>
    </w:p>
    <w:p>
      <w:pPr>
        <w:pStyle w:val="TextBody"/>
        <w:bidi w:val="0"/>
        <w:spacing w:before="120" w:after="0"/>
        <w:jc w:val="left"/>
        <w:rPr>
          <w:rFonts w:ascii="Times New Roman" w:hAnsi="Times New Roman"/>
          <w:sz w:val="20"/>
        </w:rPr>
      </w:pPr>
      <w:r>
        <w:rPr>
          <w:rFonts w:ascii="Times New Roman" w:hAnsi="Times New Roman"/>
          <w:sz w:val="20"/>
        </w:rPr>
        <w:t xml:space="preserve">(ii) upon the issuance of any Ordinary Shares or ADSs or options or rights to purchase those Ordinary Shares or ADSs pursuant to any present or future employee, director or consultant benefit plan or program of or assumed by the Company or any of the Company’s Subsidiaries (other than a rights plan as described in Section 14.11); </w:t>
      </w:r>
    </w:p>
    <w:p>
      <w:pPr>
        <w:pStyle w:val="TextBody"/>
        <w:bidi w:val="0"/>
        <w:spacing w:before="120" w:after="0"/>
        <w:jc w:val="left"/>
        <w:rPr>
          <w:rFonts w:ascii="Times New Roman" w:hAnsi="Times New Roman"/>
          <w:sz w:val="20"/>
        </w:rPr>
      </w:pPr>
      <w:r>
        <w:rPr>
          <w:rFonts w:ascii="Times New Roman" w:hAnsi="Times New Roman"/>
          <w:sz w:val="20"/>
        </w:rPr>
        <w:t xml:space="preserve">(iii) upon the issuance of any Ordinary Shares or ADSs pursuant to any option, warrant, right or exercisable, exchangeable or convertible security not described in clause (ii) of this subsection (i) and outstanding as of the date the Notes were first issued (other than a rights plan as described in Section 14.11);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upon the repurchase of any Ordinary Shares (directly or in the form of ADSs) pursuant to an open-market share repurchase program or other buy-back transaction (including, without limitation, through any structured or derivative transaction such as accelerated share repurchase derivatives) that is not a tender offer or exchange offer of the nature described in Section 14.04(e) above. </w:t>
      </w:r>
    </w:p>
    <w:p>
      <w:pPr>
        <w:pStyle w:val="TextBody"/>
        <w:bidi w:val="0"/>
        <w:spacing w:before="120" w:after="0"/>
        <w:jc w:val="left"/>
        <w:rPr>
          <w:rFonts w:ascii="Times New Roman" w:hAnsi="Times New Roman"/>
          <w:sz w:val="20"/>
        </w:rPr>
      </w:pPr>
      <w:r>
        <w:rPr>
          <w:rFonts w:ascii="Times New Roman" w:hAnsi="Times New Roman"/>
          <w:sz w:val="20"/>
        </w:rPr>
        <w:t xml:space="preserve">(v) solely for a change in the par value of the Ordinary Shares; or </w:t>
      </w:r>
    </w:p>
    <w:p>
      <w:pPr>
        <w:pStyle w:val="TextBody"/>
        <w:bidi w:val="0"/>
        <w:spacing w:before="120" w:after="0"/>
        <w:jc w:val="left"/>
        <w:rPr>
          <w:rFonts w:ascii="Times New Roman" w:hAnsi="Times New Roman"/>
          <w:sz w:val="20"/>
        </w:rPr>
      </w:pPr>
      <w:r>
        <w:rPr>
          <w:rFonts w:ascii="Times New Roman" w:hAnsi="Times New Roman"/>
          <w:sz w:val="20"/>
        </w:rPr>
        <w:t xml:space="preserve">(vi) for accrued and unpaid Special Interest, if any. </w:t>
      </w:r>
    </w:p>
    <w:p>
      <w:pPr>
        <w:pStyle w:val="TextBody"/>
        <w:bidi w:val="0"/>
        <w:spacing w:before="240" w:after="0"/>
        <w:jc w:val="left"/>
        <w:rPr>
          <w:rFonts w:ascii="Times New Roman" w:hAnsi="Times New Roman"/>
          <w:sz w:val="20"/>
        </w:rPr>
      </w:pPr>
      <w:r>
        <w:rPr>
          <w:rFonts w:ascii="Times New Roman" w:hAnsi="Times New Roman"/>
          <w:sz w:val="20"/>
        </w:rPr>
        <w:t xml:space="preserve">(j) All calculations and other determinations under this Article 14 shall be made by the Company and shall be made to the nearest one-ten thousandth (1/10,000th) of an ADS. The Company shall not be required to make an adjustment to the Conversion Rate pursuant to this Section 14.04 unless the adjustment would require a change of at least 1% in the Conversion Rate; </w:t>
      </w:r>
      <w:r>
        <w:rPr>
          <w:rFonts w:ascii="Times New Roman" w:hAnsi="Times New Roman"/>
          <w:i/>
          <w:sz w:val="20"/>
        </w:rPr>
        <w:t xml:space="preserve">provided </w:t>
      </w:r>
      <w:r>
        <w:rPr>
          <w:rFonts w:ascii="Times New Roman" w:hAnsi="Times New Roman"/>
          <w:sz w:val="20"/>
        </w:rPr>
        <w:t xml:space="preserve">that the Company shall carry forward any adjustments that are less than 1% of the Conversion Rate and make such carried forward adjustments, regardless of whether the aggregate adjustment is at least 1%, (1) on the Effective Date for any Make-Whole Fundamental Change and/or the effective date of any Fundamental Change, (2) prior to the close of business on the Conversion Date in respect of any conversion following a replacement of the ADSs by Reference Property consisting solely of cash, (3) prior to the open of business on each Trading Day of any Observation Period in respect of the conversion of any Note, (4) on any Redemption Notice Date for all or any Notes, (5) on the date on which all such deferred adjustments would result in an aggregate change to the Conversion Rate of at least 1% and (6) on May 15, 2031. </w:t>
      </w:r>
    </w:p>
    <w:p>
      <w:pPr>
        <w:pStyle w:val="TextBody"/>
        <w:bidi w:val="0"/>
        <w:spacing w:before="240" w:after="0"/>
        <w:jc w:val="left"/>
        <w:rPr>
          <w:rFonts w:ascii="Times New Roman" w:hAnsi="Times New Roman"/>
          <w:sz w:val="20"/>
        </w:rPr>
      </w:pPr>
      <w:r>
        <w:rPr>
          <w:rFonts w:ascii="Times New Roman" w:hAnsi="Times New Roman"/>
          <w:sz w:val="20"/>
        </w:rPr>
        <w:t xml:space="preserve">(k) 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shall have received such Officers’ Certificate, the Trustee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deliver such notice of such adjustment of the Conversion Rate to each Holder. Failure to deliver such notice shall not affect the legality or validity of any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(l) For purposes of this Section 14.04, the number of Ordinary Shares (directly or in the form of ADSs) at any time outstanding shall not include Ordinary Shares (directly or in the form of ADSs) held in the treasury of the Company so long as the Company does not pay any dividend or make any distribution on the Ordinary Shares (directly or in the form of ADSs) held in the treasury of the Company, but shall include Ordinary Shares issuable in respect of scrip certificates issued in lieu of fractions of Ordinary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14.05</w:t>
      </w:r>
      <w:r>
        <w:rPr>
          <w:rFonts w:ascii="Times New Roman" w:hAnsi="Times New Roman"/>
          <w:i/>
          <w:sz w:val="20"/>
        </w:rPr>
        <w:t xml:space="preserve">. Adjustments of Prices. </w:t>
      </w:r>
      <w:r>
        <w:rPr>
          <w:rFonts w:ascii="Times New Roman" w:hAnsi="Times New Roman"/>
          <w:sz w:val="20"/>
        </w:rPr>
        <w:t xml:space="preserve">Whenever any provision of this Indenture requires the Company to calculate the Last Reported Sale Prices, the Daily VWAPs, the Daily Conversion Values, the Daily Net Settlement Amounts or the Daily Settlement Amounts over a span of multiple days (including, without limitation, an Observation Period and the period for determining the ADS Price for purposes of a Make-Whole Fundamental Change or a Redemption), the Board of Directors shall make appropriate adjustments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Prices, the Daily VWAPs, the Daily Conversion Values, the Daily Net Settlement Amounts or the Daily Settlement Amounts are to be calculated. For the avoidance of doubt, the adjustments made pursuant to the foregoing paragraph shall be made, solely to the extent the Company determines in good faith and in a commercially reasonable manner that any such adjustment is appropriate and without duplication of any adjustment made pursuant to the provisions set forth under Section 14.04. </w:t>
      </w:r>
    </w:p>
    <w:p>
      <w:pPr>
        <w:pStyle w:val="TextBody"/>
        <w:bidi w:val="0"/>
        <w:spacing w:before="240" w:after="0"/>
        <w:jc w:val="left"/>
        <w:rPr>
          <w:rFonts w:ascii="Times New Roman" w:hAnsi="Times New Roman"/>
          <w:sz w:val="20"/>
        </w:rPr>
      </w:pPr>
      <w:r>
        <w:rPr>
          <w:rFonts w:ascii="Times New Roman" w:hAnsi="Times New Roman"/>
          <w:sz w:val="20"/>
        </w:rPr>
        <w:t>Section 14.06</w:t>
      </w:r>
      <w:r>
        <w:rPr>
          <w:rFonts w:ascii="Times New Roman" w:hAnsi="Times New Roman"/>
          <w:i/>
          <w:sz w:val="20"/>
        </w:rPr>
        <w:t>. Shares to Be Fully Paid.</w:t>
      </w:r>
      <w:r>
        <w:rPr>
          <w:rFonts w:ascii="Times New Roman" w:hAnsi="Times New Roman"/>
          <w:sz w:val="20"/>
        </w:rPr>
        <w:t xml:space="preserve"> The Company shall at all times reserve, free from preemptive rights, out of its authorized but unissued shares or shares held in treasury, a number of Ordinary Shares underlying a number of ADSs equal to the product of (a) the number of outstanding Notes and (b) the Conversion Rate (assuming the Conversion Rate has been increased by the maximum number of Additional ADSs pursuant to Section 14.03), to provide for conversion of the Notes from time to time as such Notes are presented for conversion. </w:t>
      </w:r>
    </w:p>
    <w:p>
      <w:pPr>
        <w:pStyle w:val="TextBody"/>
        <w:bidi w:val="0"/>
        <w:spacing w:before="240" w:after="0"/>
        <w:jc w:val="left"/>
        <w:rPr>
          <w:rFonts w:ascii="Times New Roman" w:hAnsi="Times New Roman"/>
          <w:sz w:val="20"/>
        </w:rPr>
      </w:pPr>
      <w:r>
        <w:rPr>
          <w:rFonts w:ascii="Times New Roman" w:hAnsi="Times New Roman"/>
          <w:sz w:val="20"/>
        </w:rPr>
        <w:t>Section 14.07</w:t>
      </w:r>
      <w:r>
        <w:rPr>
          <w:rFonts w:ascii="Times New Roman" w:hAnsi="Times New Roman"/>
          <w:i/>
          <w:sz w:val="20"/>
        </w:rPr>
        <w:t>. Effect of Recapitalizations, Reclassifications and Changes of the Ordinary Shares or ADSs.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the case of: </w:t>
      </w:r>
    </w:p>
    <w:p>
      <w:pPr>
        <w:pStyle w:val="TextBody"/>
        <w:bidi w:val="0"/>
        <w:spacing w:before="120" w:after="0"/>
        <w:jc w:val="left"/>
        <w:rPr>
          <w:rFonts w:ascii="Times New Roman" w:hAnsi="Times New Roman"/>
          <w:sz w:val="20"/>
        </w:rPr>
      </w:pPr>
      <w:r>
        <w:rPr>
          <w:rFonts w:ascii="Times New Roman" w:hAnsi="Times New Roman"/>
          <w:sz w:val="20"/>
        </w:rPr>
        <w:t xml:space="preserve">(i) any recapitalization, reclassification or change of the Ordinary Shares or ADSs (other than changes in par value or changes resulting from a subdivision or combination), </w:t>
      </w:r>
    </w:p>
    <w:p>
      <w:pPr>
        <w:pStyle w:val="TextBody"/>
        <w:bidi w:val="0"/>
        <w:spacing w:before="120" w:after="0"/>
        <w:jc w:val="left"/>
        <w:rPr>
          <w:rFonts w:ascii="Times New Roman" w:hAnsi="Times New Roman"/>
          <w:sz w:val="20"/>
        </w:rPr>
      </w:pPr>
      <w:r>
        <w:rPr>
          <w:rFonts w:ascii="Times New Roman" w:hAnsi="Times New Roman"/>
          <w:sz w:val="20"/>
        </w:rPr>
        <w:t xml:space="preserve">(ii) any consolidation, merger, combination or similar transaction involving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any sale, conveyance, lease or other transfer to a third party of all or substantially all of the consolidated assets of the Company and the Company’s Subsidiaries, or </w:t>
      </w:r>
    </w:p>
    <w:p>
      <w:pPr>
        <w:pStyle w:val="TextBody"/>
        <w:bidi w:val="0"/>
        <w:spacing w:before="120" w:after="0"/>
        <w:jc w:val="left"/>
        <w:rPr>
          <w:rFonts w:ascii="Times New Roman" w:hAnsi="Times New Roman"/>
          <w:sz w:val="20"/>
        </w:rPr>
      </w:pPr>
      <w:r>
        <w:rPr>
          <w:rFonts w:ascii="Times New Roman" w:hAnsi="Times New Roman"/>
          <w:sz w:val="20"/>
        </w:rPr>
        <w:t xml:space="preserve">(iv) any statutory share exchange, </w:t>
      </w:r>
    </w:p>
    <w:p>
      <w:pPr>
        <w:pStyle w:val="TextBody"/>
        <w:bidi w:val="0"/>
        <w:spacing w:before="240" w:after="0"/>
        <w:jc w:val="left"/>
        <w:rPr>
          <w:rFonts w:ascii="Times New Roman" w:hAnsi="Times New Roman"/>
          <w:sz w:val="20"/>
        </w:rPr>
      </w:pPr>
      <w:r>
        <w:rPr>
          <w:rFonts w:ascii="Times New Roman" w:hAnsi="Times New Roman"/>
          <w:sz w:val="20"/>
        </w:rPr>
        <w:t>in each case, as a result of which the ADSs would be converted into, or exchanged for, stock, other securities, other property or assets (including cash or any combination thereof) (any such event, a “</w:t>
      </w:r>
      <w:r>
        <w:rPr>
          <w:rFonts w:ascii="Times New Roman" w:hAnsi="Times New Roman"/>
          <w:b/>
          <w:sz w:val="20"/>
        </w:rPr>
        <w:t>Share Exchange Event</w:t>
      </w:r>
      <w:r>
        <w:rPr>
          <w:rFonts w:ascii="Times New Roman" w:hAnsi="Times New Roman"/>
          <w:sz w:val="20"/>
        </w:rPr>
        <w:t>”), then, at and after the effective time of such Share Exchange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ADSs equal to the Conversion Rate immediately prior to such Share Exchange Event would have owned or been entitled to receive (the “</w:t>
      </w:r>
      <w:r>
        <w:rPr>
          <w:rFonts w:ascii="Times New Roman" w:hAnsi="Times New Roman"/>
          <w:b/>
          <w:sz w:val="20"/>
        </w:rPr>
        <w:t>Reference Property</w:t>
      </w:r>
      <w:r>
        <w:rPr>
          <w:rFonts w:ascii="Times New Roman" w:hAnsi="Times New Roman"/>
          <w:sz w:val="20"/>
        </w:rPr>
        <w:t>,” with each “</w:t>
      </w:r>
      <w:r>
        <w:rPr>
          <w:rFonts w:ascii="Times New Roman" w:hAnsi="Times New Roman"/>
          <w:b/>
          <w:sz w:val="20"/>
        </w:rPr>
        <w:t>unit of Reference Property</w:t>
      </w:r>
      <w:r>
        <w:rPr>
          <w:rFonts w:ascii="Times New Roman" w:hAnsi="Times New Roman"/>
          <w:sz w:val="20"/>
        </w:rPr>
        <w:t xml:space="preserve">” meaning the kind and amount of Reference Property that a holder of one ADS is entitled to receive) upon such Share Exchange Event and, prior to or at the effective time of such Share Exchange Event, the Company or the successor or purchasing Person, as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case may be, shall execute with the Trustee a supplemental indenture permitted under Section 10.01(i) providing for such change in the right to convert each $1,000 principal amount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and after the effective time of the Share Exchange Event, the Conversion Obligation shall be calculated and settled in accordance with Section 14.02 such that (A) the amount otherwise payable in cash upon conversion of the Notes as set forth under Section 14.02 shall continue to be payable in cash, (B) the Company shall continue to have the right to determine the form of consideration to be paid or delivered, as the case may be, in respect of the remainder, if any, of the Conversion Obligation in excess of the principal amount of the Notes being converted as set forth under Section 14.02, (C) the number of ADSs, if any, otherwise deliverable upon conversion of the Notes in accordance with Section 14.02 shall instead be deliverable in the amount and type of Reference Property that a holder of that number of ADSs would have received in such Share Exchange Event and (D) the Daily VWAP shall be calculated based on the value of a unit of Reference Property. If the Notes become convertible into Reference Property, the Company shall notify the Trustee in writing. </w:t>
      </w:r>
    </w:p>
    <w:p>
      <w:pPr>
        <w:pStyle w:val="TextBody"/>
        <w:bidi w:val="0"/>
        <w:spacing w:before="240" w:after="0"/>
        <w:jc w:val="left"/>
        <w:rPr>
          <w:rFonts w:ascii="Times New Roman" w:hAnsi="Times New Roman"/>
          <w:sz w:val="20"/>
        </w:rPr>
      </w:pPr>
      <w:r>
        <w:rPr>
          <w:rFonts w:ascii="Times New Roman" w:hAnsi="Times New Roman"/>
          <w:sz w:val="20"/>
        </w:rPr>
        <w:t xml:space="preserve">If the Share Exchange Event causes the ADSs to be converted into, or exchanged for, the right to receive more than a single type of consideration (determined based in part upon any form of shareholder election), then (i) the Reference Property into which the Notes will be convertible shall be deemed to be the weighted average of the types and amounts of consideration actually received by the holders of ADSs, and (ii) the unit of Reference Property for purposes of the immediately preceding paragraph shall refer to the consideration referred to in clause (i) attributable to one ADS. The Company shall notify Holders, the Trustee and the Conversion Agent (if other than the Trustee) in writing of such weighted average as soon as practicable after such determination is made. If the holders of the ADSs receive only cash in such Share Exchange Event, then for all conversions for which the relevant Conversion Date occurs after the effective date of such Share Exchange Event (A) the consideration due upon conversion of each $1,000 principal amount of Notes shall be solely cash in an amount equal to the Conversion Rate in effect on the Conversion Date (as may be increased by any Additional ADSs pursuant to Section 14.03), </w:t>
      </w:r>
      <w:r>
        <w:rPr>
          <w:rFonts w:ascii="Times New Roman" w:hAnsi="Times New Roman"/>
          <w:i/>
          <w:sz w:val="20"/>
        </w:rPr>
        <w:t>multiplied by</w:t>
      </w:r>
      <w:r>
        <w:rPr>
          <w:rFonts w:ascii="Times New Roman" w:hAnsi="Times New Roman"/>
          <w:sz w:val="20"/>
        </w:rPr>
        <w:t xml:space="preserve"> the price paid per ADS in such Share Exchange Event and (B) the Company shall satisfy the Conversion Obligation by paying cash to converting Holders on the third Business Day immediately following the relevant Conversion Date. </w:t>
      </w:r>
    </w:p>
    <w:p>
      <w:pPr>
        <w:pStyle w:val="TextBody"/>
        <w:bidi w:val="0"/>
        <w:spacing w:before="240" w:after="0"/>
        <w:jc w:val="left"/>
        <w:rPr>
          <w:rFonts w:ascii="Times New Roman" w:hAnsi="Times New Roman"/>
          <w:sz w:val="20"/>
        </w:rPr>
      </w:pPr>
      <w:r>
        <w:rPr>
          <w:rFonts w:ascii="Times New Roman" w:hAnsi="Times New Roman"/>
          <w:sz w:val="20"/>
        </w:rPr>
        <w:t xml:space="preserve">Such supplemental indenture described in the second immediately preceding paragraph shall provide for anti-dilution and other adjustments that shall be as nearly equivalent as is possible to the adjustments provided for in this Article 14. If, in the case of any Share Exchange Event, the Reference Property includes shares of stock, securities or other property or assets (including cash or any combination thereof) of a Person other than the successor or purchasing corporation, as the case may be, in such Share Exchange Event, then such supplemental indenture shall also be executed by such other Person and shall contain such additional provisions to protect the interests of the Holders of the Notes as the Board of Directors shall reasonably consider necessary by reason of the foregoing, including the provisions providing for the repurchase rights in connection with a Fundamental Change set forth in Article 15.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When the Company executes a supplemental indenture pursuant to subsection (a) of this Section 14.07, the Company shall promptly file with the Trustee an Officers’ Certificate briefly stating the reasons therefor, the kind or amount of cash, securities or property or asset that will comprise a unit of Reference Property after any such Share Exchange Event, any adjustment to be made with respect thereto and that all conditions precedent have been complied with, and shall promptly deliver notice thereof to all Holders. The Company shall cause notice of the execution of such supplemental indenture to be delivered to each Holder within 20 days after execution thereof. Failure to deliver such notice shall not affect the legality or validity of such supplemental indenture.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not become a party to any Share Exchange Event unless its terms are consistent with this Section 14.07. None of the foregoing provisions shall affect the right of a Holder of Notes to convert its Notes into cash and ADSs, if any, as set forth in Section 14.01 and Section 14.02 prior to the effective date of such Share Exchange Event. </w:t>
      </w:r>
    </w:p>
    <w:p>
      <w:pPr>
        <w:pStyle w:val="TextBody"/>
        <w:bidi w:val="0"/>
        <w:spacing w:before="240" w:after="0"/>
        <w:jc w:val="left"/>
        <w:rPr>
          <w:rFonts w:ascii="Times New Roman" w:hAnsi="Times New Roman"/>
          <w:sz w:val="20"/>
        </w:rPr>
      </w:pPr>
      <w:r>
        <w:rPr>
          <w:rFonts w:ascii="Times New Roman" w:hAnsi="Times New Roman"/>
          <w:sz w:val="20"/>
        </w:rPr>
        <w:t xml:space="preserve">(d) The above provisions of this Section 14.07 shall similarly apply to successive Share Exchange Events. </w:t>
      </w:r>
    </w:p>
    <w:p>
      <w:pPr>
        <w:pStyle w:val="TextBody"/>
        <w:bidi w:val="0"/>
        <w:spacing w:before="240" w:after="0"/>
        <w:jc w:val="left"/>
        <w:rPr>
          <w:rFonts w:ascii="Times New Roman" w:hAnsi="Times New Roman"/>
          <w:sz w:val="20"/>
        </w:rPr>
      </w:pPr>
      <w:r>
        <w:rPr>
          <w:rFonts w:ascii="Times New Roman" w:hAnsi="Times New Roman"/>
          <w:sz w:val="20"/>
        </w:rPr>
        <w:t>Section 14.08</w:t>
      </w:r>
      <w:r>
        <w:rPr>
          <w:rFonts w:ascii="Times New Roman" w:hAnsi="Times New Roman"/>
          <w:i/>
          <w:sz w:val="20"/>
        </w:rPr>
        <w:t>. Certain Covenants.</w:t>
      </w:r>
      <w:r>
        <w:rPr>
          <w:rFonts w:ascii="Times New Roman" w:hAnsi="Times New Roman"/>
          <w:sz w:val="20"/>
        </w:rPr>
        <w:t xml:space="preserve"> (a) The Company covenants that all ADSs issued upon conversion of Notes, and the underlying Ordinary Shares, will be fully paid and non-assessable by the Company and free from all taxes, liens and charges with respect to the issue thereof. </w:t>
      </w:r>
    </w:p>
    <w:p>
      <w:pPr>
        <w:pStyle w:val="TextBody"/>
        <w:bidi w:val="0"/>
        <w:spacing w:before="240" w:after="0"/>
        <w:jc w:val="left"/>
        <w:rPr>
          <w:rFonts w:ascii="Times New Roman" w:hAnsi="Times New Roman"/>
          <w:sz w:val="20"/>
        </w:rPr>
      </w:pPr>
      <w:r>
        <w:rPr>
          <w:rFonts w:ascii="Times New Roman" w:hAnsi="Times New Roman"/>
          <w:sz w:val="20"/>
        </w:rPr>
        <w:t xml:space="preserve">(b) The Company covenants that, if any ADSs and/or Ordinary Shares represented thereby to be provided for the purpose of conversion of Notes hereunder require registration with or approval of any governmental authority under any federal or state law before such ADSs and/or Ordinary Shares may be validly issued upon conversion, the Company will, to the extent then permitted by the rules and interpretations of the Commission, secure such registration or approval,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(c) The Company further covenants that if at any time the ADSs shall be listed on any national securities exchange or automated quotation system the Company will list and keep listed, so long as the ADSs shall be so listed on such exchange or automated quotation system, any ADSs issuable upon conversion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(d) The Company further covenants to take all actions and obtain all approvals and registrations with respect to the conversion of the Notes into ADSs and the issuance, and deposit into the ADS facility, of the Ordinary Shares represented by such ADSs. Subject to Section 14.10, The Company shall also undertake to maintain, as long as any Notes are outstanding, the effectiveness of a registration statement on Form F-6 relating to an adequate number of ADSs available for issuance thereunder upon conversion of the Notes such that ADSs can be delivered in accordance with the terms of this Indenture, the Notes and the Deposit Agreement (as supplemented by the Restricted Issuance Agreement). In addition, subject to Section 14.10, the Company further covenants to provide Holders with a copy of the Restricted Issuance Agreement upon request. </w:t>
      </w:r>
    </w:p>
    <w:p>
      <w:pPr>
        <w:pStyle w:val="TextBody"/>
        <w:bidi w:val="0"/>
        <w:spacing w:before="240" w:after="0"/>
        <w:jc w:val="left"/>
        <w:rPr>
          <w:rFonts w:ascii="Times New Roman" w:hAnsi="Times New Roman"/>
          <w:sz w:val="20"/>
        </w:rPr>
      </w:pPr>
      <w:r>
        <w:rPr>
          <w:rFonts w:ascii="Times New Roman" w:hAnsi="Times New Roman"/>
          <w:sz w:val="20"/>
        </w:rPr>
        <w:t>Section 14.09</w:t>
      </w:r>
      <w:r>
        <w:rPr>
          <w:rFonts w:ascii="Times New Roman" w:hAnsi="Times New Roman"/>
          <w:i/>
          <w:sz w:val="20"/>
        </w:rPr>
        <w:t>. Responsibility of Trustee.</w:t>
      </w:r>
      <w:r>
        <w:rPr>
          <w:rFonts w:ascii="Times New Roman" w:hAnsi="Times New Roman"/>
          <w:sz w:val="20"/>
        </w:rPr>
        <w:t xml:space="preserve">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employed, or herein or in any supplemental indenture provided to be employed, in making the same. The Trustee and any other Conversion Agent shall not be accountable with respect to the validity or value (or the kind or amount) of any ADSs,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ADSs or stock certificates or other securities or property or cash upon the surrender of any Note for the purpose of conversion or to comply with any of the duties, responsibilities or covenants of the Company contained in this Article 14. Without limiting the generality of the foregoing, neither the Trustee nor any Conversion Agent shall be under any responsibility to determine the correctness of any provisions contained in any supplemental indenture entered into pursuant to Section 14.07 relating either to the kind or amount of shares of stock or securities or property (including cash) receivable by Holders upon the conversion of their Notes after any event referred to in such Section 14.07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14.01(b) has occurred that makes the Notes eligible for conversion or no longer eligible therefor until the Company has delivered to the Trustee and the Conversion Agent the notices referred to in Section 14.01(b)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14.01(b). </w:t>
      </w:r>
    </w:p>
    <w:p>
      <w:pPr>
        <w:pStyle w:val="TextBody"/>
        <w:bidi w:val="0"/>
        <w:spacing w:before="240" w:after="0"/>
        <w:jc w:val="left"/>
        <w:rPr>
          <w:rFonts w:ascii="Times New Roman" w:hAnsi="Times New Roman"/>
          <w:sz w:val="20"/>
        </w:rPr>
      </w:pPr>
      <w:r>
        <w:rPr>
          <w:rFonts w:ascii="Times New Roman" w:hAnsi="Times New Roman"/>
          <w:sz w:val="20"/>
        </w:rPr>
        <w:t>Section 14.10</w:t>
      </w:r>
      <w:r>
        <w:rPr>
          <w:rFonts w:ascii="Times New Roman" w:hAnsi="Times New Roman"/>
          <w:i/>
          <w:sz w:val="20"/>
        </w:rPr>
        <w:t xml:space="preserve">. Termination of Depositary Receipt Program. </w:t>
      </w:r>
      <w:r>
        <w:rPr>
          <w:rFonts w:ascii="Times New Roman" w:hAnsi="Times New Roman"/>
          <w:sz w:val="20"/>
        </w:rPr>
        <w:t xml:space="preserve">If the Ordinary Shares cease to be represented by ADSs issued under a depositary receipt program sponsored by the Company, all references in this Indenture to the ADSs shall be deemed to have been replaced by a reference to the number of Ordinary Shares and other property, if any, represented by the ADSs on the last day on which the ADSs represented the Ordinary Shares and as if such Ordinary Shares and the other property had been distributed to holders of the ADSs on that day. In addition, all references to the Last Reported Sale Price and Daily VWAP of the ADSs will be deemed to refer to the Last Reported Sale Price and the Daily VWAP of the Ordinary Shares, as the case may be, and other appropriate adjustments, including adjustments to the Conversion Rate, will be made to reflect such change. In making such adjustments, where currency translations between U.S. dollars and any other currency are required, the exchange rate in effect on the date of determination will apply. The Company shall provide written notice to the Holders, the Trustee and the Conversion Agent (if other than the Trustee) upon the occurrence of the foregoing, </w:t>
      </w:r>
    </w:p>
    <w:p>
      <w:pPr>
        <w:pStyle w:val="TextBody"/>
        <w:bidi w:val="0"/>
        <w:spacing w:before="240" w:after="0"/>
        <w:jc w:val="left"/>
        <w:rPr>
          <w:rFonts w:ascii="Times New Roman" w:hAnsi="Times New Roman"/>
          <w:sz w:val="20"/>
        </w:rPr>
      </w:pPr>
      <w:r>
        <w:rPr>
          <w:rFonts w:ascii="Times New Roman" w:hAnsi="Times New Roman"/>
          <w:sz w:val="20"/>
        </w:rPr>
        <w:t>Section 14.11</w:t>
      </w:r>
      <w:r>
        <w:rPr>
          <w:rFonts w:ascii="Times New Roman" w:hAnsi="Times New Roman"/>
          <w:i/>
          <w:sz w:val="20"/>
        </w:rPr>
        <w:t>. Shareholder Rights Plans.</w:t>
      </w:r>
      <w:r>
        <w:rPr>
          <w:rFonts w:ascii="Times New Roman" w:hAnsi="Times New Roman"/>
          <w:sz w:val="20"/>
        </w:rPr>
        <w:t xml:space="preserve"> If the Company has a shareholder rights plan in effect upon conversion of the Notes, each ADS, if any, issued upon such conversion shall be entitled to receive the appropriate number of rights under the shareholder rights plan (either directly or in respect of the Ordinary Shares underlying such ADSs), if any, and the certificates representing the ADSs issued upon such conversion shall bear such legends, if any, in each case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may be provided by the terms of any such shareholder rights plan, as the same may be amended from time to time. However, if, prior to any conversion of Notes, the rights have separated from the ADSs or the Ordinary Shares underlying the ADSs, as the case may be, in accordance with the provisions of the applicable shareholder rights plan, the Conversion Rate shall be adjusted at the time of separation as if the Company distributed to all or substantially all holders of the Ordinary Shares Distributed Property as provided in Section 14.04(c), subject to readjustment in the event of the expiration, termination or redemption of such rights. </w:t>
      </w:r>
    </w:p>
    <w:p>
      <w:pPr>
        <w:pStyle w:val="TextBody"/>
        <w:bidi w:val="0"/>
        <w:spacing w:before="240" w:after="0"/>
        <w:jc w:val="left"/>
        <w:rPr>
          <w:rFonts w:ascii="Times New Roman" w:hAnsi="Times New Roman"/>
          <w:sz w:val="20"/>
        </w:rPr>
      </w:pPr>
      <w:r>
        <w:rPr>
          <w:rFonts w:ascii="Times New Roman" w:hAnsi="Times New Roman"/>
          <w:sz w:val="20"/>
        </w:rPr>
        <w:t>Section 14.12</w:t>
      </w:r>
      <w:r>
        <w:rPr>
          <w:rFonts w:ascii="Times New Roman" w:hAnsi="Times New Roman"/>
          <w:i/>
          <w:sz w:val="20"/>
        </w:rPr>
        <w:t xml:space="preserve">. Exchange in lieu of conversion. </w:t>
      </w:r>
      <w:r>
        <w:rPr>
          <w:rFonts w:ascii="Times New Roman" w:hAnsi="Times New Roman"/>
          <w:sz w:val="20"/>
        </w:rPr>
        <w:t>(a) When a Holder surrenders its Notes for conversion, the Company may, at its election (an “</w:t>
      </w:r>
      <w:r>
        <w:rPr>
          <w:rFonts w:ascii="Times New Roman" w:hAnsi="Times New Roman"/>
          <w:b/>
          <w:sz w:val="20"/>
        </w:rPr>
        <w:t>Exchange Election</w:t>
      </w:r>
      <w:r>
        <w:rPr>
          <w:rFonts w:ascii="Times New Roman" w:hAnsi="Times New Roman"/>
          <w:sz w:val="20"/>
        </w:rPr>
        <w:t>”), direct the Conversion Agent in writing to deliver, on or prior to the Trading Day immediately following the Conversion Date, such Notes to one or more financial institutions designated by the Company (each, a “</w:t>
      </w:r>
      <w:r>
        <w:rPr>
          <w:rFonts w:ascii="Times New Roman" w:hAnsi="Times New Roman"/>
          <w:b/>
          <w:sz w:val="20"/>
        </w:rPr>
        <w:t>Designated Financial Institution</w:t>
      </w:r>
      <w:r>
        <w:rPr>
          <w:rFonts w:ascii="Times New Roman" w:hAnsi="Times New Roman"/>
          <w:sz w:val="20"/>
        </w:rPr>
        <w:t>”) for exchange in lieu of conversion. In order to accept any Notes surrendered for conversion, the Designated Financial Institution(s) must agree to timely pay and deliver, as the case may be, in exchange for such Notes, cash up to the aggregate principal amount of such Notes, and cash, ADSs or a combination of cash and ADSs, at the Company’s election, in respect of the remainder, if any, of the Company’s Conversion Obligation in excess of the aggregate principal amount of such Notes that would otherwise be due upon conversion pursuant to Section 14.02 (the “</w:t>
      </w:r>
      <w:r>
        <w:rPr>
          <w:rFonts w:ascii="Times New Roman" w:hAnsi="Times New Roman"/>
          <w:b/>
          <w:sz w:val="20"/>
        </w:rPr>
        <w:t>Conversion Consideration</w:t>
      </w:r>
      <w:r>
        <w:rPr>
          <w:rFonts w:ascii="Times New Roman" w:hAnsi="Times New Roman"/>
          <w:sz w:val="20"/>
        </w:rPr>
        <w:t xml:space="preserve">”). If the Company makes an Exchange Election, the Company shall, before the close of business on the Trading Day immediately following the relevant Conversion Date, notify in writing the Trustee, the Conversion Agent (if other than the Trustee) and the Holder surrendering its Notes for conversion that the Company has made the Exchange Election, and the Company shall notify the Designated Financial Institution(s) of the relevant deadline for delivery of the Conversion Consideration and the type of Conversion Consideration to be paid and delivered,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Any Notes delivered to the Designated Financial Institution(s) shall remain outstanding, subject to applicable procedures of the Depositary. If the Designated Financial Institution(s) agree(s) to accept any Notes for exchange but does not timely pay and deliver, as the case may be, the related Conversion Consideration, or if such Designated Financial Institution does not accept the Notes for exchange, the Company shall pay and deliver, as the case may be, the relevant Conversion Consideration as, and at the time, required pursuant to this Indenture as if the Company had not made the Exchange Election. </w:t>
      </w:r>
    </w:p>
    <w:p>
      <w:pPr>
        <w:pStyle w:val="TextBody"/>
        <w:bidi w:val="0"/>
        <w:spacing w:before="240" w:after="0"/>
        <w:jc w:val="left"/>
        <w:rPr>
          <w:rFonts w:ascii="Times New Roman" w:hAnsi="Times New Roman"/>
          <w:sz w:val="20"/>
        </w:rPr>
      </w:pPr>
      <w:r>
        <w:rPr>
          <w:rFonts w:ascii="Times New Roman" w:hAnsi="Times New Roman"/>
          <w:sz w:val="20"/>
        </w:rPr>
        <w:t xml:space="preserve">(c) The Company’s designation of any Designated Financial Institution(s) to which the Notes may be submitted for exchange does not require such Designated Financial Institution(s) to accept any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15 </w:t>
      </w:r>
    </w:p>
    <w:p>
      <w:pPr>
        <w:pStyle w:val="TextBody"/>
        <w:bidi w:val="0"/>
        <w:spacing w:before="0" w:after="0"/>
        <w:jc w:val="center"/>
        <w:rPr>
          <w:rFonts w:ascii="Times New Roman" w:hAnsi="Times New Roman"/>
          <w:sz w:val="20"/>
        </w:rPr>
      </w:pPr>
      <w:r>
        <w:rPr>
          <w:rFonts w:ascii="Times New Roman" w:hAnsi="Times New Roman"/>
          <w:sz w:val="20"/>
        </w:rPr>
        <w:t xml:space="preserve">REPURCHASE OF NOTES AT OPTION OF HOLDERS </w:t>
      </w:r>
    </w:p>
    <w:p>
      <w:pPr>
        <w:pStyle w:val="TextBody"/>
        <w:bidi w:val="0"/>
        <w:spacing w:before="240" w:after="0"/>
        <w:jc w:val="left"/>
        <w:rPr>
          <w:rFonts w:ascii="Times New Roman" w:hAnsi="Times New Roman"/>
          <w:sz w:val="20"/>
        </w:rPr>
      </w:pPr>
      <w:r>
        <w:rPr>
          <w:rFonts w:ascii="Times New Roman" w:hAnsi="Times New Roman"/>
          <w:sz w:val="20"/>
        </w:rPr>
        <w:t>Section 15.01</w:t>
      </w:r>
      <w:r>
        <w:rPr>
          <w:rFonts w:ascii="Times New Roman" w:hAnsi="Times New Roman"/>
          <w:i/>
          <w:sz w:val="20"/>
        </w:rPr>
        <w:t xml:space="preserve">. Repurchase at Option of Holders. </w:t>
      </w:r>
      <w:r>
        <w:rPr>
          <w:rFonts w:ascii="Times New Roman" w:hAnsi="Times New Roman"/>
          <w:sz w:val="20"/>
        </w:rPr>
        <w:t>(a) Each Holder shall have the right, at such Holder’s option, to require the Company to repurchase for cash all of such Holder’s Notes, or any portion thereof that is equal to a minimum of $1,000 principal amount or a multiple of $1,000 in excess thereof, on August 15, 2029 (the “</w:t>
      </w:r>
      <w:r>
        <w:rPr>
          <w:rFonts w:ascii="Times New Roman" w:hAnsi="Times New Roman"/>
          <w:b/>
          <w:sz w:val="20"/>
        </w:rPr>
        <w:t>Optional Repurchase Date</w:t>
      </w:r>
      <w:r>
        <w:rPr>
          <w:rFonts w:ascii="Times New Roman" w:hAnsi="Times New Roman"/>
          <w:sz w:val="20"/>
        </w:rPr>
        <w:t>”) at a repurchase price (the “</w:t>
      </w:r>
      <w:r>
        <w:rPr>
          <w:rFonts w:ascii="Times New Roman" w:hAnsi="Times New Roman"/>
          <w:b/>
          <w:sz w:val="20"/>
        </w:rPr>
        <w:t>Optional</w:t>
      </w:r>
      <w:r>
        <w:rPr>
          <w:rFonts w:ascii="Times New Roman" w:hAnsi="Times New Roman"/>
          <w:sz w:val="20"/>
        </w:rPr>
        <w:t xml:space="preserve"> </w:t>
      </w:r>
      <w:r>
        <w:rPr>
          <w:rFonts w:ascii="Times New Roman" w:hAnsi="Times New Roman"/>
          <w:b/>
          <w:sz w:val="20"/>
        </w:rPr>
        <w:t>Repurchase Price</w:t>
      </w:r>
      <w:r>
        <w:rPr>
          <w:rFonts w:ascii="Times New Roman" w:hAnsi="Times New Roman"/>
          <w:sz w:val="20"/>
        </w:rPr>
        <w:t xml:space="preserve">”) that is equal to 100% of the principal amount of the Notes to be repurchased, </w:t>
      </w:r>
      <w:r>
        <w:rPr>
          <w:rFonts w:ascii="Times New Roman" w:hAnsi="Times New Roman"/>
          <w:i/>
          <w:sz w:val="20"/>
        </w:rPr>
        <w:t>plus</w:t>
      </w:r>
      <w:r>
        <w:rPr>
          <w:rFonts w:ascii="Times New Roman" w:hAnsi="Times New Roman"/>
          <w:sz w:val="20"/>
        </w:rPr>
        <w:t xml:space="preserve"> accrued and unpaid Special Interest, if any, to, but excluding, the Optional Repurchase Date; </w:t>
      </w:r>
      <w:r>
        <w:rPr>
          <w:rFonts w:ascii="Times New Roman" w:hAnsi="Times New Roman"/>
          <w:i/>
          <w:sz w:val="20"/>
        </w:rPr>
        <w:t>provided</w:t>
      </w:r>
      <w:r>
        <w:rPr>
          <w:rFonts w:ascii="Times New Roman" w:hAnsi="Times New Roman"/>
          <w:sz w:val="20"/>
        </w:rPr>
        <w:t xml:space="preserve"> that any such accrued and unpaid Special Interest shall be paid not to the Holders submitting the Notes for repurchase on the Optional Repurchase Date but instead to the Holders of such Notes at the close of business on the Special Interest Record Date immediately preceding the Optional Repurchase Date. </w:t>
      </w:r>
    </w:p>
    <w:p>
      <w:pPr>
        <w:pStyle w:val="TextBody"/>
        <w:bidi w:val="0"/>
        <w:spacing w:before="240" w:after="0"/>
        <w:jc w:val="left"/>
        <w:rPr>
          <w:rFonts w:ascii="Times New Roman" w:hAnsi="Times New Roman"/>
          <w:sz w:val="20"/>
        </w:rPr>
      </w:pPr>
      <w:r>
        <w:rPr>
          <w:rFonts w:ascii="Times New Roman" w:hAnsi="Times New Roman"/>
          <w:sz w:val="20"/>
        </w:rPr>
        <w:t>On or before the 20th Business Day prior to the Optional Repurchase Date, the Company shall provide to all Holders of Notes and the Trustee, the Paying Agent (in the case of a Paying Agent other than the Trustee) and the Conversion Agent (in the case of a Conversion Agent other than the Trustee), or shall cause the Trustee (upon three Business Days written notice, unless a shorter period shall be satisfactory to the Trustee) to deliver to the Paying Agent (in the case of a Paying Agent other than the Trustee), to the Conversion Agent (in the case of a Conversion Agent other than the Trustee) and to all Holders of Notes, a notice (the “</w:t>
      </w:r>
      <w:r>
        <w:rPr>
          <w:rFonts w:ascii="Times New Roman" w:hAnsi="Times New Roman"/>
          <w:b/>
          <w:sz w:val="20"/>
        </w:rPr>
        <w:t>Company Notice</w:t>
      </w:r>
      <w:r>
        <w:rPr>
          <w:rFonts w:ascii="Times New Roman" w:hAnsi="Times New Roman"/>
          <w:sz w:val="20"/>
        </w:rPr>
        <w:t xml:space="preserve">”) of the repurchase right at the option of the Holders pursuant to this Section 15.01. In the case of Physical Notes, such notice shall be by first class mail, postage prepaid, at each Holder’s address as it appears on the Note Register or, in the case of Global Notes, such notice shall be delivered in accordance with the applicable procedures of the Depositary. The Company Notice shall include a Form of Optional Repurchase Notice to be completed by a Holder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last date on which a Holder may exercise the repurchase right pursuant to this Section 15.01; </w:t>
      </w:r>
    </w:p>
    <w:p>
      <w:pPr>
        <w:pStyle w:val="TextBody"/>
        <w:bidi w:val="0"/>
        <w:spacing w:before="120" w:after="0"/>
        <w:jc w:val="left"/>
        <w:rPr>
          <w:rFonts w:ascii="Times New Roman" w:hAnsi="Times New Roman"/>
          <w:sz w:val="20"/>
        </w:rPr>
      </w:pPr>
      <w:r>
        <w:rPr>
          <w:rFonts w:ascii="Times New Roman" w:hAnsi="Times New Roman"/>
          <w:sz w:val="20"/>
        </w:rPr>
        <w:t xml:space="preserve">(ii) the Optional Repurchase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(iii) the Optional Repurchase Date; </w:t>
      </w:r>
    </w:p>
    <w:p>
      <w:pPr>
        <w:pStyle w:val="TextBody"/>
        <w:bidi w:val="0"/>
        <w:spacing w:before="120" w:after="0"/>
        <w:jc w:val="left"/>
        <w:rPr>
          <w:rFonts w:ascii="Times New Roman" w:hAnsi="Times New Roman"/>
          <w:sz w:val="20"/>
        </w:rPr>
      </w:pPr>
      <w:r>
        <w:rPr>
          <w:rFonts w:ascii="Times New Roman" w:hAnsi="Times New Roman"/>
          <w:sz w:val="20"/>
        </w:rPr>
        <w:t xml:space="preserve">(iv) the name and address of the Trustee, Paying Agent and the Conversion Agent,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(v) that the Notes with respect to which an Optional Repurchase Notice has been delivered by a Holder may be converted only if the Holder withdraws the Optional Repurchase Notice in accordance with the terms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(vi) the procedures that Holders must follow to require the Company to repurchase their Notes pursuant to this Section 15.01. </w:t>
      </w:r>
    </w:p>
    <w:p>
      <w:pPr>
        <w:pStyle w:val="TextBody"/>
        <w:bidi w:val="0"/>
        <w:spacing w:before="240" w:after="0"/>
        <w:jc w:val="left"/>
        <w:rPr>
          <w:rFonts w:ascii="Times New Roman" w:hAnsi="Times New Roman"/>
          <w:sz w:val="20"/>
        </w:rPr>
      </w:pPr>
      <w:r>
        <w:rPr>
          <w:rFonts w:ascii="Times New Roman" w:hAnsi="Times New Roman"/>
          <w:sz w:val="20"/>
        </w:rPr>
        <w:t xml:space="preserve">No failure of the Company to give the Company Notice and no defect therein shall limit the Holders’ repurchase rights or affect the validity of the proceedings for the repurchase of the Notes pursuant to this Section 15.01.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all cases, the text of such Company Notice shall be prepared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Repurchases of Notes under this Section 15.01 shall be made, at the option of the Holder thereof, upon: </w:t>
      </w:r>
    </w:p>
    <w:p>
      <w:pPr>
        <w:pStyle w:val="TextBody"/>
        <w:bidi w:val="0"/>
        <w:spacing w:before="120" w:after="0"/>
        <w:jc w:val="left"/>
        <w:rPr>
          <w:rFonts w:ascii="Times New Roman" w:hAnsi="Times New Roman"/>
          <w:sz w:val="20"/>
        </w:rPr>
      </w:pPr>
      <w:r>
        <w:rPr>
          <w:rFonts w:ascii="Times New Roman" w:hAnsi="Times New Roman"/>
          <w:sz w:val="20"/>
        </w:rPr>
        <w:t>(i) delivery to the Paying Agent by the Holder of a duly completed notice (the “</w:t>
      </w:r>
      <w:r>
        <w:rPr>
          <w:rFonts w:ascii="Times New Roman" w:hAnsi="Times New Roman"/>
          <w:b/>
          <w:sz w:val="20"/>
        </w:rPr>
        <w:t>Optional</w:t>
      </w:r>
      <w:r>
        <w:rPr>
          <w:rFonts w:ascii="Times New Roman" w:hAnsi="Times New Roman"/>
          <w:sz w:val="20"/>
        </w:rPr>
        <w:t xml:space="preserve"> </w:t>
      </w:r>
      <w:r>
        <w:rPr>
          <w:rFonts w:ascii="Times New Roman" w:hAnsi="Times New Roman"/>
          <w:b/>
          <w:sz w:val="20"/>
        </w:rPr>
        <w:t>Repurchase Notice</w:t>
      </w:r>
      <w:r>
        <w:rPr>
          <w:rFonts w:ascii="Times New Roman" w:hAnsi="Times New Roman"/>
          <w:sz w:val="20"/>
        </w:rPr>
        <w:t xml:space="preserve">”) in the form set forth in Attachment 3 to the Form of Note attached hereto as Exhibit A, if the Notes are Physical Notes, or in compliance with the Depositary’s procedures for surrendering interests in Global Notes, if the Notes are Global Notes, in each case during the period from the open of business on the date that is 20 Business Days prior to the Optional Repurchase Date until the close of business on the second Business Day immediately preceding the Optional Repurchase Date; and </w:t>
      </w:r>
    </w:p>
    <w:p>
      <w:pPr>
        <w:pStyle w:val="TextBody"/>
        <w:bidi w:val="0"/>
        <w:spacing w:before="120" w:after="0"/>
        <w:jc w:val="left"/>
        <w:rPr>
          <w:rFonts w:ascii="Times New Roman" w:hAnsi="Times New Roman"/>
          <w:sz w:val="20"/>
        </w:rPr>
      </w:pPr>
      <w:r>
        <w:rPr>
          <w:rFonts w:ascii="Times New Roman" w:hAnsi="Times New Roman"/>
          <w:sz w:val="20"/>
        </w:rPr>
        <w:t xml:space="preserve">(ii) delivery of the Notes, if the Notes are Physical Notes, to the Paying Agent at any time after delivery of the Optional Repurchase Notice (together with all necessary endorsements for transfer) at the address of the Paying Agent set forth in the Company Notice, or book-entry transfer of the Notes, if the Notes are Global Notes, in compliance with the procedures of the Depositary, in each case such delivery being a condition to receipt by the Holder of the Optional Repurchase Price therefor. </w:t>
      </w:r>
    </w:p>
    <w:p>
      <w:pPr>
        <w:pStyle w:val="TextBody"/>
        <w:bidi w:val="0"/>
        <w:spacing w:before="240" w:after="0"/>
        <w:jc w:val="left"/>
        <w:rPr>
          <w:rFonts w:ascii="Times New Roman" w:hAnsi="Times New Roman"/>
          <w:sz w:val="20"/>
        </w:rPr>
      </w:pPr>
      <w:r>
        <w:rPr>
          <w:rFonts w:ascii="Times New Roman" w:hAnsi="Times New Roman"/>
          <w:sz w:val="20"/>
        </w:rPr>
        <w:t xml:space="preserve">Each Optional Repurchase Notice shall state: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Physical Notes, the certificate numbers of the Notes to be delivered for repurchase; </w:t>
      </w:r>
    </w:p>
    <w:p>
      <w:pPr>
        <w:pStyle w:val="TextBody"/>
        <w:bidi w:val="0"/>
        <w:spacing w:before="120" w:after="0"/>
        <w:jc w:val="left"/>
        <w:rPr>
          <w:rFonts w:ascii="Times New Roman" w:hAnsi="Times New Roman"/>
          <w:sz w:val="20"/>
        </w:rPr>
      </w:pPr>
      <w:r>
        <w:rPr>
          <w:rFonts w:ascii="Times New Roman" w:hAnsi="Times New Roman"/>
          <w:sz w:val="20"/>
        </w:rPr>
        <w:t xml:space="preserve">(ii) the portion of the principal amount of Notes to be repurchased, which must be a minimum of $1,000 or a multiple of $1,000 in excess thereof; and </w:t>
      </w:r>
    </w:p>
    <w:p>
      <w:pPr>
        <w:pStyle w:val="TextBody"/>
        <w:bidi w:val="0"/>
        <w:spacing w:before="120" w:after="0"/>
        <w:jc w:val="left"/>
        <w:rPr>
          <w:rFonts w:ascii="Times New Roman" w:hAnsi="Times New Roman"/>
          <w:sz w:val="20"/>
        </w:rPr>
      </w:pPr>
      <w:r>
        <w:rPr>
          <w:rFonts w:ascii="Times New Roman" w:hAnsi="Times New Roman"/>
          <w:sz w:val="20"/>
        </w:rPr>
        <w:t xml:space="preserve">(iii) that the Notes are to be repurchased by the Company pursuant to the applicable provisions of the Notes and this Indenture;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Notes are Global Notes, the Optional Repurchase Notice must comply with appropriate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any Holder delivering to the Paying Agent the Optional Repurchase Notice contemplated by this Section 15.01 shall have the right to withdraw, in whole or in part, such Optional Repurchase Notice at any time prior to the close of business on the second Business Day immediately preceding the Optional Repurchase Date by delivery of a written notice of withdrawal to the Trustee and the Paying Agent in accordance with Section 15.03.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shall promptly notify the Company of the receipt by it of any Optional Repurchase Notice or written notice of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No Optional Repurchase Notice with respect to any Note may be delivered, and no Note may be surrendered for repurchase pursuant to this Section 15.01, by a Holder thereof to the extent such Holder has also delivered a Fundamental Change Repurchase Notice with respect to such Note in accordance with Section 15.02 and has not validly withdrawn such Fundamental Change Repurchase Notice in accordance with Section 15.03.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the foregoing, no Notes may be repurchased by the Company at the option of the Holders on the Optional Repurchase Date if the principal amount of the Notes has been accelerated, and such acceleration has not been rescinded, on or prior to the Optional Repurchase Date (except in the case of an acceleration resulting from a Default by the Company in the payment of the Optional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Optional Repurchase Price with respect to such Notes), or any instructions for book-entry transfer of the Notes in compliance with the procedures of the Depositary shall be deemed to have been canceled, and, upon such return or cancellation, as the case may be, the Optional Repurchase Notice with respect thereto shall be deemed to have been withdrawn. </w:t>
      </w:r>
    </w:p>
    <w:p>
      <w:pPr>
        <w:pStyle w:val="TextBody"/>
        <w:bidi w:val="0"/>
        <w:spacing w:before="240" w:after="0"/>
        <w:jc w:val="left"/>
        <w:rPr>
          <w:rFonts w:ascii="Times New Roman" w:hAnsi="Times New Roman"/>
          <w:sz w:val="20"/>
        </w:rPr>
      </w:pPr>
      <w:r>
        <w:rPr>
          <w:rFonts w:ascii="Times New Roman" w:hAnsi="Times New Roman"/>
          <w:sz w:val="20"/>
        </w:rPr>
        <w:t>Section 15.02</w:t>
      </w:r>
      <w:r>
        <w:rPr>
          <w:rFonts w:ascii="Times New Roman" w:hAnsi="Times New Roman"/>
          <w:i/>
          <w:sz w:val="20"/>
        </w:rPr>
        <w:t>. Repurchase</w:t>
      </w:r>
      <w:r>
        <w:rPr>
          <w:rFonts w:ascii="Times New Roman" w:hAnsi="Times New Roman"/>
          <w:sz w:val="20"/>
        </w:rPr>
        <w:t xml:space="preserve"> </w:t>
      </w:r>
      <w:r>
        <w:rPr>
          <w:rFonts w:ascii="Times New Roman" w:hAnsi="Times New Roman"/>
          <w:i/>
          <w:sz w:val="20"/>
        </w:rPr>
        <w:t>at Option of Holders Upon a Fundamental Change.</w:t>
      </w:r>
      <w:r>
        <w:rPr>
          <w:rFonts w:ascii="Times New Roman" w:hAnsi="Times New Roman"/>
          <w:sz w:val="20"/>
        </w:rPr>
        <w:t xml:space="preserve"> (a) If a Fundamental Change (other than an Exempted Fundamental Change) occurs at any time prior to the Maturity Date, each Holder shall have the right, at such Holder’s option, to require the Company to repurchase for cash all of such Holder’s Notes, or any portion of the principal amount thereof that is equal to $1,000 or an integral multiple of $1,000, on the date (the “</w:t>
      </w:r>
      <w:r>
        <w:rPr>
          <w:rFonts w:ascii="Times New Roman" w:hAnsi="Times New Roman"/>
          <w:b/>
          <w:sz w:val="20"/>
        </w:rPr>
        <w:t>Fundamental Change Repurchase Date</w:t>
      </w:r>
      <w:r>
        <w:rPr>
          <w:rFonts w:ascii="Times New Roman" w:hAnsi="Times New Roman"/>
          <w:sz w:val="20"/>
        </w:rPr>
        <w:t xml:space="preserve">”) specified by the Company that is not less than 20 calendar days or more than 35 calendar days following the date of the Fundamental Change Company Notice at a repurchase price equal to 100% of the principal amount thereof, </w:t>
      </w:r>
      <w:r>
        <w:rPr>
          <w:rFonts w:ascii="Times New Roman" w:hAnsi="Times New Roman"/>
          <w:i/>
          <w:sz w:val="20"/>
        </w:rPr>
        <w:t>plus</w:t>
      </w:r>
      <w:r>
        <w:rPr>
          <w:rFonts w:ascii="Times New Roman" w:hAnsi="Times New Roman"/>
          <w:sz w:val="20"/>
        </w:rPr>
        <w:t xml:space="preserve"> accrued and unpaid Special Interest, if any, thereon to, but excluding, the Fundamental Change Repurchase Date (the “</w:t>
      </w:r>
      <w:r>
        <w:rPr>
          <w:rFonts w:ascii="Times New Roman" w:hAnsi="Times New Roman"/>
          <w:b/>
          <w:sz w:val="20"/>
        </w:rPr>
        <w:t>Fundamental Change Repurchase Price</w:t>
      </w:r>
      <w:r>
        <w:rPr>
          <w:rFonts w:ascii="Times New Roman" w:hAnsi="Times New Roman"/>
          <w:sz w:val="20"/>
        </w:rPr>
        <w:t xml:space="preserve">”), unless the Fundamental Change Repurchase Date falls after a Special Interest Record Date but on or prior to the Special Interest Payment Date to which such Special Interest Record Date relates, in which case the Company shall instead pay the full amount of any accrued and unpaid Special Interest to Holders of record as of such Special Interest Record Date, and the Fundamental Change Repurchase Price shall be equal to 100% of the principal amount of Notes to be repurchased pursuant to this Section 15.02. The Fundamental Change Repurchase Date shall be subject to postponement in order to allow the Company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Repurchases of Notes under this Section 15.02 shall be made, at the option of the Holder thereof, upon: </w:t>
      </w:r>
    </w:p>
    <w:p>
      <w:pPr>
        <w:pStyle w:val="TextBody"/>
        <w:bidi w:val="0"/>
        <w:spacing w:before="120" w:after="0"/>
        <w:jc w:val="left"/>
        <w:rPr>
          <w:rFonts w:ascii="Times New Roman" w:hAnsi="Times New Roman"/>
          <w:sz w:val="20"/>
        </w:rPr>
      </w:pPr>
      <w:r>
        <w:rPr>
          <w:rFonts w:ascii="Times New Roman" w:hAnsi="Times New Roman"/>
          <w:sz w:val="20"/>
        </w:rPr>
        <w:t>(i) delivery to the Paying Agent by a Holder of a duly completed notice (the “</w:t>
      </w:r>
      <w:r>
        <w:rPr>
          <w:rFonts w:ascii="Times New Roman" w:hAnsi="Times New Roman"/>
          <w:b/>
          <w:sz w:val="20"/>
        </w:rPr>
        <w:t>Fundamental Change Repurchase Notice</w:t>
      </w:r>
      <w:r>
        <w:rPr>
          <w:rFonts w:ascii="Times New Roman" w:hAnsi="Times New Roman"/>
          <w:sz w:val="20"/>
        </w:rPr>
        <w:t xml:space="preserve">”)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second Business Day immediately preceding the Fundamental Change Repurchase Date; and </w:t>
      </w:r>
    </w:p>
    <w:p>
      <w:pPr>
        <w:pStyle w:val="TextBody"/>
        <w:bidi w:val="0"/>
        <w:spacing w:before="120" w:after="0"/>
        <w:jc w:val="left"/>
        <w:rPr>
          <w:rFonts w:ascii="Times New Roman" w:hAnsi="Times New Roman"/>
          <w:sz w:val="20"/>
        </w:rPr>
      </w:pPr>
      <w:r>
        <w:rPr>
          <w:rFonts w:ascii="Times New Roman" w:hAnsi="Times New Roman"/>
          <w:sz w:val="20"/>
        </w:rPr>
        <w:t xml:space="preserve">(ii) 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Fundamental Change Repurchase Notice in respect of any Notes to be repurchased shall state: </w:t>
      </w:r>
    </w:p>
    <w:p>
      <w:pPr>
        <w:pStyle w:val="TextBody"/>
        <w:bidi w:val="0"/>
        <w:spacing w:before="120" w:after="0"/>
        <w:jc w:val="left"/>
        <w:rPr>
          <w:rFonts w:ascii="Times New Roman" w:hAnsi="Times New Roman"/>
          <w:sz w:val="20"/>
        </w:rPr>
      </w:pPr>
      <w:r>
        <w:rPr>
          <w:rFonts w:ascii="Times New Roman" w:hAnsi="Times New Roman"/>
          <w:sz w:val="20"/>
        </w:rPr>
        <w:t xml:space="preserve">(iii) in the case of Physical Notes, the certificate numbers of the Notes to be delivered for repurchase; </w:t>
      </w:r>
    </w:p>
    <w:p>
      <w:pPr>
        <w:pStyle w:val="TextBody"/>
        <w:bidi w:val="0"/>
        <w:spacing w:before="120" w:after="0"/>
        <w:jc w:val="left"/>
        <w:rPr>
          <w:rFonts w:ascii="Times New Roman" w:hAnsi="Times New Roman"/>
          <w:sz w:val="20"/>
        </w:rPr>
      </w:pPr>
      <w:r>
        <w:rPr>
          <w:rFonts w:ascii="Times New Roman" w:hAnsi="Times New Roman"/>
          <w:sz w:val="20"/>
        </w:rPr>
        <w:t xml:space="preserve">(iv) the portion of the principal amount of Notes to be repurchased, which must be $1,000 or an integral multiple thereof; and </w:t>
      </w:r>
    </w:p>
    <w:p>
      <w:pPr>
        <w:pStyle w:val="TextBody"/>
        <w:bidi w:val="0"/>
        <w:spacing w:before="120" w:after="0"/>
        <w:jc w:val="left"/>
        <w:rPr>
          <w:rFonts w:ascii="Times New Roman" w:hAnsi="Times New Roman"/>
          <w:sz w:val="20"/>
        </w:rPr>
      </w:pPr>
      <w:r>
        <w:rPr>
          <w:rFonts w:ascii="Times New Roman" w:hAnsi="Times New Roman"/>
          <w:sz w:val="20"/>
        </w:rPr>
        <w:t xml:space="preserve">(v) that the Notes are to be repurchased by the Company pursuant to the applicable provisions of the Notes and this Indenture;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Notes are Global Notes, the Fundamental Change Repurchase Notice must comply with appropriate Depositary procedures.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herein to the contrary, any Holder delivering to the Paying Agent the Fundamental Change Repurchase Notice contemplated by this Section 15.02 shall have the right to withdraw, in whole or in part, such Fundamental Change Repurchase Notice at any time prior to the close of business on the second Business Day immediately preceding the Fundamental Change Repurchase Date by delivery of a written notice of withdrawal to the Trustee and the Paying Agent in accordance with Section 15.03.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shall promptly notify the Company of the receipt by it of any Fundamental Change Repurchase Notice or written notice of withdrawal thereof. </w:t>
      </w:r>
    </w:p>
    <w:p>
      <w:pPr>
        <w:pStyle w:val="TextBody"/>
        <w:bidi w:val="0"/>
        <w:spacing w:before="240" w:after="0"/>
        <w:jc w:val="left"/>
        <w:rPr>
          <w:rFonts w:ascii="Times New Roman" w:hAnsi="Times New Roman"/>
          <w:sz w:val="20"/>
        </w:rPr>
      </w:pPr>
      <w:r>
        <w:rPr>
          <w:rFonts w:ascii="Times New Roman" w:hAnsi="Times New Roman"/>
          <w:sz w:val="20"/>
        </w:rPr>
        <w:t xml:space="preserve">No Fundamental Change Repurchase Notice with respect to any Note may be delivered, and no Note may be surrendered for repurchase pursuant to this Section 15.02, by a Holder thereof to the extent such Holder has also delivered an Optional Repurchase Notice with respect to such Note in accordance with Section 15.01 unless and until such Holder has validly withdrawn such Optional Repurchase Notice in accordance with Section 15.03. </w:t>
      </w:r>
    </w:p>
    <w:p>
      <w:pPr>
        <w:pStyle w:val="TextBody"/>
        <w:bidi w:val="0"/>
        <w:spacing w:before="240" w:after="0"/>
        <w:jc w:val="left"/>
        <w:rPr>
          <w:rFonts w:ascii="Times New Roman" w:hAnsi="Times New Roman"/>
          <w:sz w:val="20"/>
        </w:rPr>
      </w:pPr>
      <w:r>
        <w:rPr>
          <w:rFonts w:ascii="Times New Roman" w:hAnsi="Times New Roman"/>
          <w:sz w:val="20"/>
        </w:rPr>
        <w:t>(c) On or before the 20th calendar day after the occurrence of the effective date of a Fundamental Change (other than an Exempted Fundamental Change), the Company shall provide to all Holders of Notes and the Trustee, the Paying Agent (in the case of a Paying Agent other than the Trustee) and the Conversion Agent (in the case of a Conversion Agent other than the Trustee), or shall cause the Trustee (upon three Business Days written notice, unless a shorter period shall be satisfactory to the Trustee) to deliver to all Holders of Notes, the Paying Agent (in the case of a Paying Agent other than the Trustee) and the Conversion Agent (in the case of a Conversion Agent other than the Trustee), a notice (the “</w:t>
      </w:r>
      <w:r>
        <w:rPr>
          <w:rFonts w:ascii="Times New Roman" w:hAnsi="Times New Roman"/>
          <w:b/>
          <w:sz w:val="20"/>
        </w:rPr>
        <w:t>Fundamental Change Company Notice</w:t>
      </w:r>
      <w:r>
        <w:rPr>
          <w:rFonts w:ascii="Times New Roman" w:hAnsi="Times New Roman"/>
          <w:sz w:val="20"/>
        </w:rPr>
        <w:t xml:space="preserve">”) of the occurrence of the effective date of such Fundamental Change and of the repurchase right at the option of the Holders arising as a result thereof. In the case of Physical Notes, such notice shall be by first class mail, postage prepaid, at each Holder’s address as it appears on the Note Register or, in the case of Global Notes, such notice shall be delivered in accordance with the applicable procedures of the Depositary. Simultaneously with providing such notice, the Company shall publish a notice containing the information set forth in the Fundamental Change Company Notice in a newspaper of general circulation in The City of New York or publish such information on the Company’s website, through a press release or through such other public medium as the Company may use at that time. Each Fundamental Change Company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events causing the Fundamental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effective date of the Fundamental Change; </w:t>
      </w:r>
    </w:p>
    <w:p>
      <w:pPr>
        <w:pStyle w:val="TextBody"/>
        <w:bidi w:val="0"/>
        <w:spacing w:before="120" w:after="0"/>
        <w:jc w:val="left"/>
        <w:rPr>
          <w:rFonts w:ascii="Times New Roman" w:hAnsi="Times New Roman"/>
          <w:sz w:val="20"/>
        </w:rPr>
      </w:pPr>
      <w:r>
        <w:rPr>
          <w:rFonts w:ascii="Times New Roman" w:hAnsi="Times New Roman"/>
          <w:sz w:val="20"/>
        </w:rPr>
        <w:t xml:space="preserve">(iii) the last date on which a Holder may exercise the repurchase right pursuant to this Section 15.02; </w:t>
      </w:r>
    </w:p>
    <w:p>
      <w:pPr>
        <w:pStyle w:val="TextBody"/>
        <w:bidi w:val="0"/>
        <w:spacing w:before="120" w:after="0"/>
        <w:jc w:val="left"/>
        <w:rPr>
          <w:rFonts w:ascii="Times New Roman" w:hAnsi="Times New Roman"/>
          <w:sz w:val="20"/>
        </w:rPr>
      </w:pPr>
      <w:r>
        <w:rPr>
          <w:rFonts w:ascii="Times New Roman" w:hAnsi="Times New Roman"/>
          <w:sz w:val="20"/>
        </w:rPr>
        <w:t xml:space="preserve">(iv) the Fundamental Change Repurchase Price; </w:t>
      </w:r>
    </w:p>
    <w:p>
      <w:pPr>
        <w:pStyle w:val="TextBody"/>
        <w:bidi w:val="0"/>
        <w:spacing w:before="120" w:after="0"/>
        <w:jc w:val="left"/>
        <w:rPr>
          <w:rFonts w:ascii="Times New Roman" w:hAnsi="Times New Roman"/>
          <w:sz w:val="20"/>
        </w:rPr>
      </w:pPr>
      <w:r>
        <w:rPr>
          <w:rFonts w:ascii="Times New Roman" w:hAnsi="Times New Roman"/>
          <w:sz w:val="20"/>
        </w:rPr>
        <w:t xml:space="preserve">(v) the Fundamental Change Repurchase Date; </w:t>
      </w:r>
    </w:p>
    <w:p>
      <w:pPr>
        <w:pStyle w:val="TextBody"/>
        <w:bidi w:val="0"/>
        <w:spacing w:before="120" w:after="0"/>
        <w:jc w:val="left"/>
        <w:rPr>
          <w:rFonts w:ascii="Times New Roman" w:hAnsi="Times New Roman"/>
          <w:sz w:val="20"/>
        </w:rPr>
      </w:pPr>
      <w:r>
        <w:rPr>
          <w:rFonts w:ascii="Times New Roman" w:hAnsi="Times New Roman"/>
          <w:sz w:val="20"/>
        </w:rPr>
        <w:t xml:space="preserve">(vi) the name and address of the Paying Agent and the Conversion Agent, if applicable; </w:t>
      </w:r>
    </w:p>
    <w:p>
      <w:pPr>
        <w:pStyle w:val="TextBody"/>
        <w:bidi w:val="0"/>
        <w:spacing w:before="120" w:after="0"/>
        <w:jc w:val="left"/>
        <w:rPr>
          <w:rFonts w:ascii="Times New Roman" w:hAnsi="Times New Roman"/>
          <w:sz w:val="20"/>
        </w:rPr>
      </w:pPr>
      <w:r>
        <w:rPr>
          <w:rFonts w:ascii="Times New Roman" w:hAnsi="Times New Roman"/>
          <w:sz w:val="20"/>
        </w:rPr>
        <w:t xml:space="preserve">(vii) if applicable, the Conversion Rate and any adjustments to the Conversion Rate; </w:t>
      </w:r>
    </w:p>
    <w:p>
      <w:pPr>
        <w:pStyle w:val="TextBody"/>
        <w:bidi w:val="0"/>
        <w:spacing w:before="120" w:after="0"/>
        <w:jc w:val="left"/>
        <w:rPr>
          <w:rFonts w:ascii="Times New Roman" w:hAnsi="Times New Roman"/>
          <w:sz w:val="20"/>
        </w:rPr>
      </w:pPr>
      <w:r>
        <w:rPr>
          <w:rFonts w:ascii="Times New Roman" w:hAnsi="Times New Roman"/>
          <w:sz w:val="20"/>
        </w:rPr>
        <w:t xml:space="preserve">(viii) that the Notes with respect to which a Fundamental Change Repurchase Notice has been delivered by a Holder may be converted only if the Holder validly withdraws the Fundamental Change Repurchase Notice in accordance with the terms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(ix) the procedures that Holders must follow to require the Company to repurchase their Notes. </w:t>
      </w:r>
    </w:p>
    <w:p>
      <w:pPr>
        <w:pStyle w:val="TextBody"/>
        <w:bidi w:val="0"/>
        <w:spacing w:before="240" w:after="0"/>
        <w:jc w:val="left"/>
        <w:rPr>
          <w:rFonts w:ascii="Times New Roman" w:hAnsi="Times New Roman"/>
          <w:sz w:val="20"/>
        </w:rPr>
      </w:pPr>
      <w:r>
        <w:rPr>
          <w:rFonts w:ascii="Times New Roman" w:hAnsi="Times New Roman"/>
          <w:sz w:val="20"/>
        </w:rPr>
        <w:t xml:space="preserve">No failure of the Company to give the foregoing notices and no defect therein shall limit the Holders’ repurchase rights or affect the validity of the proceedings for the repurchase of the Notes pursuant to this Section 15.02. </w:t>
      </w:r>
    </w:p>
    <w:p>
      <w:pPr>
        <w:pStyle w:val="TextBody"/>
        <w:bidi w:val="0"/>
        <w:spacing w:before="240" w:after="0"/>
        <w:jc w:val="left"/>
        <w:rPr>
          <w:rFonts w:ascii="Times New Roman" w:hAnsi="Times New Roman"/>
          <w:sz w:val="20"/>
        </w:rPr>
      </w:pPr>
      <w:r>
        <w:rPr>
          <w:rFonts w:ascii="Times New Roman" w:hAnsi="Times New Roman"/>
          <w:sz w:val="20"/>
        </w:rPr>
        <w:t xml:space="preserve">At the Company’s written request given at least two (2) Business Days before such notice is to be sent (or such shorter period as shall be acceptable to the Trustee), the Trustee shall give such notice in the Company’s name and at the Company’s expense;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all cases, the text of such Fundamental Change Company Notice shall be prepared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Article 15, the Company shall not be required to repurchase, or make an offer to repurchase, the Notes upon a Fundamental Change if a third party Person makes such an offer in the same manner, at the same time and otherwise in compliance with the terms and conditions set forth herein applicable to an offer made by the Company to repurchase the Notes upon a Fundamental Change, and such third party purchases all Notes properly surrendered and not validly withdrawn under such offer in the same manner, at the same time and otherwise in compliance with the requirements for such an offer as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(f) Notwithstanding anything to the contrary in this Article 15, the Company shall not be required to send a Fundamental Change Company Notice, or offer to repurchase or repurchase any Notes, in each case, as described in this Section 15.02, in connection with a Fundamental Change occurring pursuant to clause (b)(A) or (b)(B) (or pursuant to clause (a) that also constitutes a Fundamental Change occurring pursuant to clause (b)(A) or (b)(B)) of the definition thereof, if: </w:t>
      </w:r>
    </w:p>
    <w:p>
      <w:pPr>
        <w:pStyle w:val="TextBody"/>
        <w:bidi w:val="0"/>
        <w:spacing w:before="120" w:after="0"/>
        <w:jc w:val="left"/>
        <w:rPr>
          <w:rFonts w:ascii="Times New Roman" w:hAnsi="Times New Roman"/>
          <w:sz w:val="20"/>
        </w:rPr>
      </w:pPr>
      <w:r>
        <w:rPr>
          <w:rFonts w:ascii="Times New Roman" w:hAnsi="Times New Roman"/>
          <w:sz w:val="20"/>
        </w:rPr>
        <w:t xml:space="preserve">(i) such Fundamental Change constitutes a Share Exchange Event for which the Reference Property consists entirely of cash in U.S. dollars; </w:t>
      </w:r>
    </w:p>
    <w:p>
      <w:pPr>
        <w:pStyle w:val="TextBody"/>
        <w:bidi w:val="0"/>
        <w:spacing w:before="120" w:after="0"/>
        <w:jc w:val="left"/>
        <w:rPr>
          <w:rFonts w:ascii="Times New Roman" w:hAnsi="Times New Roman"/>
          <w:sz w:val="20"/>
        </w:rPr>
      </w:pPr>
      <w:r>
        <w:rPr>
          <w:rFonts w:ascii="Times New Roman" w:hAnsi="Times New Roman"/>
          <w:sz w:val="20"/>
        </w:rPr>
        <w:t xml:space="preserve">(ii) immediately after such Fundamental Change, the Notes become convertible (pursuant to Section 14.07 and, if applicable, Section 14.03) into consideration that consists solely of U.S. dollars in an amount per $1,000 principal amount of Notes that equals or exceeds the Fundamental Change Repurchase Price per $1,000 principal amount of Notes (calculated assuming that the Fundamental Change Repurchase Price includes the maximum amount of accrued and unpaid Special Interest, if any, payable as part of the Fundamental Change Repurchase Price); and </w:t>
      </w:r>
    </w:p>
    <w:p>
      <w:pPr>
        <w:pStyle w:val="TextBody"/>
        <w:bidi w:val="0"/>
        <w:spacing w:before="120" w:after="0"/>
        <w:jc w:val="left"/>
        <w:rPr>
          <w:rFonts w:ascii="Times New Roman" w:hAnsi="Times New Roman"/>
          <w:sz w:val="20"/>
        </w:rPr>
      </w:pPr>
      <w:r>
        <w:rPr>
          <w:rFonts w:ascii="Times New Roman" w:hAnsi="Times New Roman"/>
          <w:sz w:val="20"/>
        </w:rPr>
        <w:t xml:space="preserve">(iii) the Company timely sends a notice of such Fundamental Change pursuant to Section 14.01(b)(iii). </w:t>
      </w:r>
    </w:p>
    <w:p>
      <w:pPr>
        <w:pStyle w:val="TextBody"/>
        <w:bidi w:val="0"/>
        <w:spacing w:before="240" w:after="0"/>
        <w:jc w:val="left"/>
        <w:rPr>
          <w:rFonts w:ascii="Times New Roman" w:hAnsi="Times New Roman"/>
          <w:sz w:val="20"/>
        </w:rPr>
      </w:pPr>
      <w:r>
        <w:rPr>
          <w:rFonts w:ascii="Times New Roman" w:hAnsi="Times New Roman"/>
          <w:sz w:val="20"/>
        </w:rPr>
        <w:t>Section 15.03</w:t>
      </w:r>
      <w:r>
        <w:rPr>
          <w:rFonts w:ascii="Times New Roman" w:hAnsi="Times New Roman"/>
          <w:i/>
          <w:sz w:val="20"/>
        </w:rPr>
        <w:t>. Withdrawal of Optional Repurchase Notice or Fundamental Change Repurchase Notice.</w:t>
      </w:r>
      <w:r>
        <w:rPr>
          <w:rFonts w:ascii="Times New Roman" w:hAnsi="Times New Roman"/>
          <w:sz w:val="20"/>
        </w:rPr>
        <w:t xml:space="preserve"> (a) An Optional Repurchase Notice or a Fundamental Change Repurchase Notice may be withdrawn (in whole or in part) by means of a written notice of withdrawal delivered to the Corporate Trust Office of the Trustee and Paying Agent in accordance with this Section 15.03 at any time prior to (x) in the case of an Optional Repurchase Notice, the close of business on the second Business Day immediately preceding the Optional Repurchase Date or (y) in the case of a Fundamental Change Repurchase Notice, the close of business on the second Business Day immediately preceding the Fundamental Change Repurchase Date, as the case may be, specifying: </w:t>
      </w:r>
    </w:p>
    <w:p>
      <w:pPr>
        <w:pStyle w:val="TextBody"/>
        <w:bidi w:val="0"/>
        <w:spacing w:before="120" w:after="0"/>
        <w:jc w:val="left"/>
        <w:rPr>
          <w:rFonts w:ascii="Times New Roman" w:hAnsi="Times New Roman"/>
          <w:sz w:val="20"/>
        </w:rPr>
      </w:pPr>
      <w:r>
        <w:rPr>
          <w:rFonts w:ascii="Times New Roman" w:hAnsi="Times New Roman"/>
          <w:sz w:val="20"/>
        </w:rPr>
        <w:t xml:space="preserve">(i) the principal amount of the Notes with respect to which such notice of withdrawal is being submitted, which portion must be in principal amounts of $1,000 or an integral multiple of $1,000,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Physical Notes have been issued, the certificate number of the Note in respect of which such notice of withdrawal is being submitted, and </w:t>
      </w:r>
    </w:p>
    <w:p>
      <w:pPr>
        <w:pStyle w:val="TextBody"/>
        <w:bidi w:val="0"/>
        <w:spacing w:before="120" w:after="0"/>
        <w:jc w:val="left"/>
        <w:rPr>
          <w:rFonts w:ascii="Times New Roman" w:hAnsi="Times New Roman"/>
          <w:sz w:val="20"/>
        </w:rPr>
      </w:pPr>
      <w:r>
        <w:rPr>
          <w:rFonts w:ascii="Times New Roman" w:hAnsi="Times New Roman"/>
          <w:sz w:val="20"/>
        </w:rPr>
        <w:t xml:space="preserve">(iii) the principal amount, if any, of such Note that remains subject to the original Optional Repurchase Notice or Fundamental Change Repurchase Notice, as the case may be, which portion must be in principal amounts of $1,000 or an integral multiple of $1,000;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Notes are Global Notes, the notice must comply with appropriate procedures of the Depositary. </w:t>
      </w:r>
    </w:p>
    <w:p>
      <w:pPr>
        <w:pStyle w:val="TextBody"/>
        <w:bidi w:val="0"/>
        <w:spacing w:before="240" w:after="0"/>
        <w:jc w:val="left"/>
        <w:rPr>
          <w:rFonts w:ascii="Times New Roman" w:hAnsi="Times New Roman"/>
          <w:sz w:val="20"/>
        </w:rPr>
      </w:pPr>
      <w:r>
        <w:rPr>
          <w:rFonts w:ascii="Times New Roman" w:hAnsi="Times New Roman"/>
          <w:sz w:val="20"/>
        </w:rPr>
        <w:t>Section 15.04</w:t>
      </w:r>
      <w:r>
        <w:rPr>
          <w:rFonts w:ascii="Times New Roman" w:hAnsi="Times New Roman"/>
          <w:i/>
          <w:sz w:val="20"/>
        </w:rPr>
        <w:t>. Deposit of Optional Repurchase Price or Fundamental Change Repurchase Price.</w:t>
      </w:r>
      <w:r>
        <w:rPr>
          <w:rFonts w:ascii="Times New Roman" w:hAnsi="Times New Roman"/>
          <w:sz w:val="20"/>
        </w:rPr>
        <w:t xml:space="preserve"> (a) The Company will deposit with the Trustee (or other Paying Agent appointed by the Company, or if the Company is acting as its own Paying Agent, set aside, segregate and hold in trust as provided in Section 4.04) on or prior to 11:00 a.m., New York City time, on the Optional Repurchase Date or the Fundamental Change Repurchase Date, as the case may be, an amount of money sufficient to repurchase all of the Notes to be repurchased at the appropriate Optional Repurchase Price or Fundamental Change Repurchase Price, as the case may be. Subject to receipt of funds and/or Notes by the Trustee (or other Paying Agent appointed by the Company), payment for Notes surrendered for repurchase (and not validly withdrawn pursuant to Section 15.03) will be made on the later of (i) the Optional Repurchase Date or the Fundamental Change Repurchase Date, as the case may be (</w:t>
      </w:r>
      <w:r>
        <w:rPr>
          <w:rFonts w:ascii="Times New Roman" w:hAnsi="Times New Roman"/>
          <w:i/>
          <w:sz w:val="20"/>
        </w:rPr>
        <w:t>provided</w:t>
      </w:r>
      <w:r>
        <w:rPr>
          <w:rFonts w:ascii="Times New Roman" w:hAnsi="Times New Roman"/>
          <w:sz w:val="20"/>
        </w:rPr>
        <w:t xml:space="preserve"> the Holder has satisfied the conditions in Section 15.01 or Section 15.02, as the case may be) and (ii) the time of book-entry transfer or the delivery of such Note to the Trustee (or other Paying Agent appointed by the Company) by the Holder thereof in the manner required by Section 15.01 or Section 15.02, as the case may be, by mailing checks for the amount payable to the Holders of such Notes entitled thereto as they shall appear in the Note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payments to the Depositary shall be made by wire transfer of immediately available funds to the account of the Depositary or its nominee. The Trustee shall, promptly after such payment and upon written demand by the Company, return to the Company any funds in excess of the Optional Repurchase Price or Fundamental Change Repurchase Price,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If by 11:00 a.m. New York City time, on the Optional Repurchase Date or Fundamental Change Repurchase Date, as the case may be, the Trustee (or other Paying Agent appointed by the Company) holds money sufficient to make payment on all the Notes or portions thereof that are to be repurchased on such Optional Repurchase Date or Fundamental Change Repurchase Date, as the case may be, then, with respect to the Notes that have been properly surrendered for repurchase and have not been validly withdrawn, (i) such Notes will cease to be outstanding, (ii) Special Interest, if any, will cease to accrue on such Notes (whether or not book-entry transfer of the Notes has been made or the Notes have been delivered to the Trustee or Paying Agent) and (iii) all other rights of the Holders of such Notes will terminate on the Optional Repurchase Date or the Fundamental Change Repurchase Date, as the case may be (other than the right to receive the Optional Repurchase Price or the Fundamental Change Repurchase Price, as the case may be, and, if applicable, any accrued and unpaid Special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Upon surrender of a Note that is to be repurchased in part pursuant to Section 15.01 Section 15.02, as the case may be, the Company shall execute and the Trustee shall authenticate and deliver to the Holder a new Note in an authorized denomination equal in principal amount to the unrepurchased portion of the Note surrendered. </w:t>
      </w:r>
    </w:p>
    <w:p>
      <w:pPr>
        <w:pStyle w:val="TextBody"/>
        <w:bidi w:val="0"/>
        <w:spacing w:before="240" w:after="0"/>
        <w:jc w:val="left"/>
        <w:rPr>
          <w:rFonts w:ascii="Times New Roman" w:hAnsi="Times New Roman"/>
          <w:sz w:val="20"/>
        </w:rPr>
      </w:pPr>
      <w:r>
        <w:rPr>
          <w:rFonts w:ascii="Times New Roman" w:hAnsi="Times New Roman"/>
          <w:sz w:val="20"/>
        </w:rPr>
        <w:t xml:space="preserve">Section 15.05. </w:t>
      </w:r>
      <w:r>
        <w:rPr>
          <w:rFonts w:ascii="Times New Roman" w:hAnsi="Times New Roman"/>
          <w:i/>
          <w:sz w:val="20"/>
        </w:rPr>
        <w:t>Covenant to Comply with Applicable Laws Upon Repurchase of Notes</w:t>
      </w:r>
      <w:r>
        <w:rPr>
          <w:rFonts w:ascii="Times New Roman" w:hAnsi="Times New Roman"/>
          <w:sz w:val="20"/>
        </w:rPr>
        <w:t xml:space="preserve">. In connection with any repurchase offer, the Company will, if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(a) comply with the provisions of Rule 13e-4, Rule 14e-1 and any other tender offer rules under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file a Schedule TO or any other required schedule under the Exchange Act; and </w:t>
      </w:r>
    </w:p>
    <w:p>
      <w:pPr>
        <w:pStyle w:val="TextBody"/>
        <w:bidi w:val="0"/>
        <w:spacing w:before="240" w:after="0"/>
        <w:jc w:val="left"/>
        <w:rPr>
          <w:rFonts w:ascii="Times New Roman" w:hAnsi="Times New Roman"/>
          <w:sz w:val="20"/>
        </w:rPr>
      </w:pPr>
      <w:r>
        <w:rPr>
          <w:rFonts w:ascii="Times New Roman" w:hAnsi="Times New Roman"/>
          <w:sz w:val="20"/>
        </w:rPr>
        <w:t xml:space="preserve">(c) otherwise comply in all material respects with all federal and state securities laws in connection with any offer by the Company to repurchase the Notes; </w:t>
      </w:r>
    </w:p>
    <w:p>
      <w:pPr>
        <w:pStyle w:val="TextBody"/>
        <w:bidi w:val="0"/>
        <w:spacing w:before="240" w:after="0"/>
        <w:jc w:val="left"/>
        <w:rPr>
          <w:rFonts w:ascii="Times New Roman" w:hAnsi="Times New Roman"/>
          <w:sz w:val="20"/>
        </w:rPr>
      </w:pPr>
      <w:r>
        <w:rPr>
          <w:rFonts w:ascii="Times New Roman" w:hAnsi="Times New Roman"/>
          <w:sz w:val="20"/>
        </w:rPr>
        <w:t xml:space="preserve">in each case, so as to permit the rights and obligations under this Article 15 to be exercised in the time and in the manner specified in this Article 15. </w:t>
      </w:r>
    </w:p>
    <w:p>
      <w:pPr>
        <w:pStyle w:val="TextBody"/>
        <w:bidi w:val="0"/>
        <w:spacing w:before="480" w:after="0"/>
        <w:jc w:val="center"/>
        <w:rPr>
          <w:rFonts w:ascii="Times New Roman" w:hAnsi="Times New Roman"/>
          <w:sz w:val="20"/>
        </w:rPr>
      </w:pPr>
      <w:r>
        <w:rPr>
          <w:rFonts w:ascii="Times New Roman" w:hAnsi="Times New Roman"/>
          <w:sz w:val="20"/>
        </w:rPr>
        <w:t xml:space="preserve">ARTICLE 16 </w:t>
      </w:r>
    </w:p>
    <w:p>
      <w:pPr>
        <w:pStyle w:val="TextBody"/>
        <w:bidi w:val="0"/>
        <w:spacing w:before="0" w:after="0"/>
        <w:jc w:val="center"/>
        <w:rPr>
          <w:rFonts w:ascii="Times New Roman" w:hAnsi="Times New Roman"/>
          <w:sz w:val="20"/>
        </w:rPr>
      </w:pPr>
      <w:r>
        <w:rPr>
          <w:rFonts w:ascii="Times New Roman" w:hAnsi="Times New Roman"/>
          <w:sz w:val="20"/>
        </w:rPr>
        <w:t xml:space="preserve">OPTIONAL REDEMPTION </w:t>
      </w:r>
    </w:p>
    <w:p>
      <w:pPr>
        <w:pStyle w:val="TextBody"/>
        <w:bidi w:val="0"/>
        <w:spacing w:before="240" w:after="0"/>
        <w:jc w:val="left"/>
        <w:rPr>
          <w:rFonts w:ascii="Times New Roman" w:hAnsi="Times New Roman"/>
          <w:sz w:val="20"/>
        </w:rPr>
      </w:pPr>
      <w:r>
        <w:rPr>
          <w:rFonts w:ascii="Times New Roman" w:hAnsi="Times New Roman"/>
          <w:sz w:val="20"/>
        </w:rPr>
        <w:t xml:space="preserve">Section 16.01. </w:t>
      </w:r>
      <w:r>
        <w:rPr>
          <w:rFonts w:ascii="Times New Roman" w:hAnsi="Times New Roman"/>
          <w:i/>
          <w:sz w:val="20"/>
        </w:rPr>
        <w:t>Optional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Optional Redemption for Changes in the Tax Laws of a Relevant Taxing Jurisdiction</w:t>
      </w:r>
      <w:r>
        <w:rPr>
          <w:rFonts w:ascii="Times New Roman" w:hAnsi="Times New Roman"/>
          <w:sz w:val="20"/>
        </w:rPr>
        <w:t>. If the Company has, or on the next Special Interest Payment Date (determined for such purposes as if Special Interest were payable at such time) would, become obligated to pay to any Holder Additional Amounts as a result of (A) any change or amendment on or after August 10, 2026 (or, if the Relevant Taxing Jurisdiction was not a Relevant Taxing Jurisdiction on such date, the date on which such Relevant Taxing Jurisdiction became a Relevant Taxing Jurisdiction hereunder, and in the case of a successor, after the date such successor assumes all of the Company’s obligations under the Notes and this Indenture) in the laws or any rules or regulations of a Relevant Taxing Jurisdiction or (B) any change on or after August 10, 2026 (or, if the Relevant Taxing Jurisdiction was not a Relevant Taxing Jurisdiction on such date, the date on which such Relevant Taxing Jurisdiction became a Relevant Taxing Jurisdiction hereunder, and in the case of a successor, after the date such successor assumes all of the Company’s obligations under the Notes and this Indenture) in an official interpretation, administration or application of such laws, rules or regulations by any legislative body, court, governmental agency, taxing authority or regulatory or administrative authority of such Relevant Taxing Jurisdiction (including the enactment of any legislation and the formal announcement or publication of any judicial decision or regulatory or administrative interpretation or determination) (a “</w:t>
      </w:r>
      <w:r>
        <w:rPr>
          <w:rFonts w:ascii="Times New Roman" w:hAnsi="Times New Roman"/>
          <w:b/>
          <w:sz w:val="20"/>
        </w:rPr>
        <w:t>Change in Tax Law</w:t>
      </w:r>
      <w:r>
        <w:rPr>
          <w:rFonts w:ascii="Times New Roman" w:hAnsi="Times New Roman"/>
          <w:sz w:val="20"/>
        </w:rPr>
        <w:t>”), the Company may at its option redeem for cash all but not part of the Notes then outstanding (except in respect of Notes of Excluded Holders that have complied with Section 16.03(b)) at a redemption price (the “</w:t>
      </w:r>
      <w:r>
        <w:rPr>
          <w:rFonts w:ascii="Times New Roman" w:hAnsi="Times New Roman"/>
          <w:b/>
          <w:sz w:val="20"/>
        </w:rPr>
        <w:t>Tax Redemption Price</w:t>
      </w:r>
      <w:r>
        <w:rPr>
          <w:rFonts w:ascii="Times New Roman" w:hAnsi="Times New Roman"/>
          <w:sz w:val="20"/>
        </w:rPr>
        <w:t xml:space="preserve">”) equal to 100% of the principal amount </w:t>
      </w:r>
      <w:r>
        <w:rPr>
          <w:rFonts w:ascii="Times New Roman" w:hAnsi="Times New Roman"/>
          <w:i/>
          <w:sz w:val="20"/>
        </w:rPr>
        <w:t>plus</w:t>
      </w:r>
      <w:r>
        <w:rPr>
          <w:rFonts w:ascii="Times New Roman" w:hAnsi="Times New Roman"/>
          <w:sz w:val="20"/>
        </w:rPr>
        <w:t xml:space="preserve"> accrued and unpaid Special Interest, if any, to, but excluding, the Tax Redemption Date, including, for the avoidance of doubt, any Additional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Amounts with respect to such Tax Redemption Price and any accrued and unpaid Special Interest (such redemption, a “</w:t>
      </w:r>
      <w:r>
        <w:rPr>
          <w:rFonts w:ascii="Times New Roman" w:hAnsi="Times New Roman"/>
          <w:b/>
          <w:sz w:val="20"/>
        </w:rPr>
        <w:t>Tax Redemption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the Company may only elect a Tax Redemption if (x) the Company cannot avoid these obligations by taking commercially reasonable measures available to the Company, and (y) the Company delivers to the Trustee (1) an opinion of outside legal counsel of recognized standing in the Relevant Taxing Jurisdiction attesting to such Change in Tax Law and obligation to pay Additional Amounts (which opinion, for the avoidance of doubt, shall not be required to include an opinion as to whether “commercially reasonable efforts” could be undertaken to avoid the otherwise applicable obligations) and (2) an Officers’ Certificate stating that, based on the Company’s determination, the Company has an obligation to pay Additional Amounts;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changing the Company’s jurisdiction of incorporation is not a commercially reasonable measure for the purposes of this Section 16.01(a). If the Tax Redemption Date occurs after a Special Interest Record Date and on or prior to the corresponding Special Interest Payment Date, the Company shall pay the full amount of any accrued and unpaid Special Interest and any Additional Amounts with respect to such Special Interest due on such Special Interest Payment Date to the record Holder of the Notes on the Special Interest Record Date corresponding to such Special Interest Payment Date, and the Tax Redemption Price payable to the Holder that presents a Note for Tax Redemption will be equal to 100% of the principal amount of such Notes, including, for the avoidance of doubt, any Additional Amounts with respect to such Tax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Provisional Redemption on or after August</w:t>
      </w:r>
      <w:r>
        <w:rPr>
          <w:rFonts w:ascii="Times New Roman" w:hAnsi="Times New Roman"/>
          <w:sz w:val="20"/>
        </w:rPr>
        <w:t> </w:t>
      </w:r>
      <w:r>
        <w:rPr>
          <w:rFonts w:ascii="Times New Roman" w:hAnsi="Times New Roman"/>
          <w:i/>
          <w:sz w:val="20"/>
        </w:rPr>
        <w:t>20, 2029</w:t>
      </w:r>
      <w:r>
        <w:rPr>
          <w:rFonts w:ascii="Times New Roman" w:hAnsi="Times New Roman"/>
          <w:sz w:val="20"/>
        </w:rPr>
        <w:t>. On or after August 20, 2029, the Company may redeem (a “</w:t>
      </w:r>
      <w:r>
        <w:rPr>
          <w:rFonts w:ascii="Times New Roman" w:hAnsi="Times New Roman"/>
          <w:b/>
          <w:sz w:val="20"/>
        </w:rPr>
        <w:t>Provisional Redemption</w:t>
      </w:r>
      <w:r>
        <w:rPr>
          <w:rFonts w:ascii="Times New Roman" w:hAnsi="Times New Roman"/>
          <w:sz w:val="20"/>
        </w:rPr>
        <w:t>”) for cash all or part of the Notes (subject to the Partial Redemption Limitation), at the Company’s option, if the Last Reported Sale Price of the ADSs equals or exceeds 130% of the Conversion Price then in effect for at least 20 Trading Days (whether or not consecutive) during any 30 consecutive Trading Day period (including the last Trading Day of such period) ending on, and including, the Trading Day immediately preceding the relevant Redemption Notice Date at a redemption price (the “</w:t>
      </w:r>
      <w:r>
        <w:rPr>
          <w:rFonts w:ascii="Times New Roman" w:hAnsi="Times New Roman"/>
          <w:b/>
          <w:sz w:val="20"/>
        </w:rPr>
        <w:t>Provisional Redemption Price</w:t>
      </w:r>
      <w:r>
        <w:rPr>
          <w:rFonts w:ascii="Times New Roman" w:hAnsi="Times New Roman"/>
          <w:sz w:val="20"/>
        </w:rPr>
        <w:t xml:space="preserve">”) equal to 100% of the principal amount of the Notes to be redeemed, </w:t>
      </w:r>
      <w:r>
        <w:rPr>
          <w:rFonts w:ascii="Times New Roman" w:hAnsi="Times New Roman"/>
          <w:i/>
          <w:sz w:val="20"/>
        </w:rPr>
        <w:t>plus</w:t>
      </w:r>
      <w:r>
        <w:rPr>
          <w:rFonts w:ascii="Times New Roman" w:hAnsi="Times New Roman"/>
          <w:sz w:val="20"/>
        </w:rPr>
        <w:t xml:space="preserve"> accrued and unpaid Special Interest, if any, to, but not including, the Provisional Redemption Date (including, for the avoidance of doubt, any Additional Amounts with respect to such Provisional Redemption Price and any accrued and unpaid Special Interest); </w:t>
      </w:r>
      <w:r>
        <w:rPr>
          <w:rFonts w:ascii="Times New Roman" w:hAnsi="Times New Roman"/>
          <w:i/>
          <w:sz w:val="20"/>
        </w:rPr>
        <w:t>provided</w:t>
      </w:r>
      <w:r>
        <w:rPr>
          <w:rFonts w:ascii="Times New Roman" w:hAnsi="Times New Roman"/>
          <w:sz w:val="20"/>
        </w:rPr>
        <w:t xml:space="preserve"> that if the Provisional Redemption Date occurs after a Special Interest Record Date and on or prior to the immediately succeeding Special Interest Payment Date, the Company shall pay the full amount of any accrued and unpaid Special Interest to the record Holder of the Notes at the close of business on the Special Interest Record Date, and the Provisional Redemption Price payable to the Holder who presents a Note for Provisional Redemption will be equal to 100% of the principal amount of such Notes to be redeemed. If the Company elects to redeem fewer than all of the outstanding Notes pursuant to a Provisional Redemption, at least $100,000,000 aggregate principal amount of Notes must be outstanding and not subject to Provisional Redemption as of the related Redemption Notice Date (such requirement, the “</w:t>
      </w:r>
      <w:r>
        <w:rPr>
          <w:rFonts w:ascii="Times New Roman" w:hAnsi="Times New Roman"/>
          <w:b/>
          <w:sz w:val="20"/>
        </w:rPr>
        <w:t>Partial Redemption Limit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Sinking Fund</w:t>
      </w:r>
      <w:r>
        <w:rPr>
          <w:rFonts w:ascii="Times New Roman" w:hAnsi="Times New Roman"/>
          <w:sz w:val="20"/>
        </w:rPr>
        <w:t xml:space="preserve">. No sinking fund is provided for the Notes. The Company may not redeem the Notes except in accordance with this Article 16.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Restrictions on Redemption</w:t>
      </w:r>
      <w:r>
        <w:rPr>
          <w:rFonts w:ascii="Times New Roman" w:hAnsi="Times New Roman"/>
          <w:sz w:val="20"/>
        </w:rPr>
        <w:t xml:space="preserve">. The Company may not redeem any Notes on any date if the principal amount of the Notes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16.02. </w:t>
      </w:r>
      <w:r>
        <w:rPr>
          <w:rFonts w:ascii="Times New Roman" w:hAnsi="Times New Roman"/>
          <w:i/>
          <w:sz w:val="20"/>
        </w:rPr>
        <w:t>Tax Redemption Notice and Provisional Redemption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case the Company exercises its Tax Redemption right to redeem all of the Notes pursuant to Section 16.01(a) or in case the Company exercises its Provisional Redemption right to redeem all or, subject to the Partial Redemption Limit, any part of the Notes pursuant to Section 16.01(b), it shall fix a date for redemption (each, a “</w:t>
      </w:r>
      <w:r>
        <w:rPr>
          <w:rFonts w:ascii="Times New Roman" w:hAnsi="Times New Roman"/>
          <w:b/>
          <w:sz w:val="20"/>
        </w:rPr>
        <w:t>Tax Redemption Date</w:t>
      </w:r>
      <w:r>
        <w:rPr>
          <w:rFonts w:ascii="Times New Roman" w:hAnsi="Times New Roman"/>
          <w:sz w:val="20"/>
        </w:rPr>
        <w:t>” or a “</w:t>
      </w:r>
      <w:r>
        <w:rPr>
          <w:rFonts w:ascii="Times New Roman" w:hAnsi="Times New Roman"/>
          <w:b/>
          <w:sz w:val="20"/>
        </w:rPr>
        <w:t>Provisional Redemption Date</w:t>
      </w:r>
      <w:r>
        <w:rPr>
          <w:rFonts w:ascii="Times New Roman" w:hAnsi="Times New Roman"/>
          <w:sz w:val="20"/>
        </w:rPr>
        <w:t>”, as applicable) and it or, at its written request received by the Trustee not less than five Business Days prior to the date the relevant Redemption Notice is to be sent (or such shorter period of time as may be acceptable to the Trustee), the Trustee, in the name of and at the expense of the Company, shall deliver or cause to be delivered a notice of such Tax Redemption or Provisional Redemption (a “</w:t>
      </w:r>
      <w:r>
        <w:rPr>
          <w:rFonts w:ascii="Times New Roman" w:hAnsi="Times New Roman"/>
          <w:b/>
          <w:sz w:val="20"/>
        </w:rPr>
        <w:t>Tax Redemption Notice</w:t>
      </w:r>
      <w:r>
        <w:rPr>
          <w:rFonts w:ascii="Times New Roman" w:hAnsi="Times New Roman"/>
          <w:sz w:val="20"/>
        </w:rPr>
        <w:t>” or a “</w:t>
      </w:r>
      <w:r>
        <w:rPr>
          <w:rFonts w:ascii="Times New Roman" w:hAnsi="Times New Roman"/>
          <w:b/>
          <w:sz w:val="20"/>
        </w:rPr>
        <w:t>Provisional Redemption Notice</w:t>
      </w:r>
      <w:r>
        <w:rPr>
          <w:rFonts w:ascii="Times New Roman" w:hAnsi="Times New Roman"/>
          <w:sz w:val="20"/>
        </w:rPr>
        <w:t xml:space="preserve">”, as applicable) not less than 45 nor more than 60 Scheduled Trading Days prior to the relevant Redemption Date to each Holder of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Company shall give such notice, it shall also give written notice of the Redemption Date to the Trustee, the Conversion Agent (if other than the Trustee) and the Paying Agent. The Redemption Date must be a Business Day, and the Company shall not specify a Redemption Date that falls on or after the 41st Scheduled Trading Day immediately preceding the Maturity Date. Notwithstanding anything to the contrary herein, no Tax Redemption Notice shall be given earlier than 90 days prior to the earliest date on which the Company would, but for such Tax Redemption, be obligated to make payment of Additional Amounts and at the time any such Tax Redemption Notice is given, such obligation to pay such Additional Amounts must remain in effect. A Redemption Notice shall be irrevocable. </w:t>
      </w:r>
    </w:p>
    <w:p>
      <w:pPr>
        <w:pStyle w:val="TextBody"/>
        <w:bidi w:val="0"/>
        <w:spacing w:before="240" w:after="0"/>
        <w:jc w:val="left"/>
        <w:rPr>
          <w:rFonts w:ascii="Times New Roman" w:hAnsi="Times New Roman"/>
          <w:sz w:val="20"/>
        </w:rPr>
      </w:pPr>
      <w:r>
        <w:rPr>
          <w:rFonts w:ascii="Times New Roman" w:hAnsi="Times New Roman"/>
          <w:sz w:val="20"/>
        </w:rPr>
        <w:t xml:space="preserve">(b) Each Redemption Notice shall specify: </w:t>
      </w:r>
    </w:p>
    <w:p>
      <w:pPr>
        <w:pStyle w:val="TextBody"/>
        <w:bidi w:val="0"/>
        <w:spacing w:before="120" w:after="0"/>
        <w:jc w:val="left"/>
        <w:rPr>
          <w:rFonts w:ascii="Times New Roman" w:hAnsi="Times New Roman"/>
          <w:sz w:val="20"/>
        </w:rPr>
      </w:pPr>
      <w:r>
        <w:rPr>
          <w:rFonts w:ascii="Times New Roman" w:hAnsi="Times New Roman"/>
          <w:sz w:val="20"/>
        </w:rPr>
        <w:t xml:space="preserve">(i)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(iii) that on the Redemption Date, the Redemption Price will become due and payable upon each Note to be redeemed, and that Special Interest thereon, if any, shall cease to accrue with respect to redeemed Notes on and after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(iv) the place or places where such Notes are to be surrendered for payment of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(v) that Holders may surrender their Called Notes for conversion at any time prior to the close of business on the second Scheduled Trading Day immediately preceding the Redemption Date or, if the Company fails to pay the Redemption Price, such later date on which the Company pays the Redemption Price; </w:t>
      </w:r>
    </w:p>
    <w:p>
      <w:pPr>
        <w:pStyle w:val="TextBody"/>
        <w:bidi w:val="0"/>
        <w:spacing w:before="120" w:after="0"/>
        <w:jc w:val="left"/>
        <w:rPr>
          <w:rFonts w:ascii="Times New Roman" w:hAnsi="Times New Roman"/>
          <w:sz w:val="20"/>
        </w:rPr>
      </w:pPr>
      <w:r>
        <w:rPr>
          <w:rFonts w:ascii="Times New Roman" w:hAnsi="Times New Roman"/>
          <w:sz w:val="20"/>
        </w:rPr>
        <w:t xml:space="preserve">(vi) the procedures a converting Holder must follow to convert its Called Notes and the Cash Percentage;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the Conversion Rate and, if applicable, the number of Additional ADSs added to the Conversion Rate in accordance with Section 14.03; </w:t>
      </w:r>
    </w:p>
    <w:p>
      <w:pPr>
        <w:pStyle w:val="TextBody"/>
        <w:bidi w:val="0"/>
        <w:spacing w:before="120" w:after="0"/>
        <w:jc w:val="left"/>
        <w:rPr>
          <w:rFonts w:ascii="Times New Roman" w:hAnsi="Times New Roman"/>
          <w:sz w:val="20"/>
        </w:rPr>
      </w:pPr>
      <w:r>
        <w:rPr>
          <w:rFonts w:ascii="Times New Roman" w:hAnsi="Times New Roman"/>
          <w:sz w:val="20"/>
        </w:rPr>
        <w:t xml:space="preserve">(viii) the CUSIP number, ISIN or other similar numbers, if any, assigned to such Notes; </w:t>
      </w:r>
    </w:p>
    <w:p>
      <w:pPr>
        <w:pStyle w:val="TextBody"/>
        <w:bidi w:val="0"/>
        <w:spacing w:before="120" w:after="0"/>
        <w:jc w:val="left"/>
        <w:rPr>
          <w:rFonts w:ascii="Times New Roman" w:hAnsi="Times New Roman"/>
          <w:sz w:val="20"/>
        </w:rPr>
      </w:pPr>
      <w:r>
        <w:rPr>
          <w:rFonts w:ascii="Times New Roman" w:hAnsi="Times New Roman"/>
          <w:sz w:val="20"/>
        </w:rPr>
        <w:t xml:space="preserve">(ix) in case any Note is to be redeemed in part only, the portion of the principal amount thereof to be redeemed and that on and after the Redemption Date, upon surrender of such Note, a new Note in principal amount equal to the unredeemed portion thereof shall be issued; </w:t>
      </w:r>
    </w:p>
    <w:p>
      <w:pPr>
        <w:pStyle w:val="TextBody"/>
        <w:bidi w:val="0"/>
        <w:spacing w:before="120" w:after="0"/>
        <w:jc w:val="left"/>
        <w:rPr>
          <w:rFonts w:ascii="Times New Roman" w:hAnsi="Times New Roman"/>
          <w:sz w:val="20"/>
        </w:rPr>
      </w:pPr>
      <w:r>
        <w:rPr>
          <w:rFonts w:ascii="Times New Roman" w:hAnsi="Times New Roman"/>
          <w:sz w:val="20"/>
        </w:rPr>
        <w:t xml:space="preserve">(x) in the case of a Tax Redemption Notice, that Holders have the right to elect not to have their Notes redeemed by delivery to the Paying Agent of a Notice of Tax Redemption Election; </w:t>
      </w:r>
    </w:p>
    <w:p>
      <w:pPr>
        <w:pStyle w:val="TextBody"/>
        <w:bidi w:val="0"/>
        <w:spacing w:before="120" w:after="0"/>
        <w:jc w:val="left"/>
        <w:rPr>
          <w:rFonts w:ascii="Times New Roman" w:hAnsi="Times New Roman"/>
          <w:sz w:val="20"/>
        </w:rPr>
      </w:pPr>
      <w:r>
        <w:rPr>
          <w:rFonts w:ascii="Times New Roman" w:hAnsi="Times New Roman"/>
          <w:sz w:val="20"/>
        </w:rPr>
        <w:t xml:space="preserve">(xi) in the case of a Tax Redemption Notice, that Holders who wish to elect not to have their Notes redeemed or to withdraw such an election must satisfy the requirements set forth in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(xii) in the case of a Tax Redemption Notice, that Holders who elect not to have their Notes redeemed will not receive any Additional Amounts on any payments with respect to such Notes solely as a result of the Change in Tax Law that resulted in the obligation to pay such Additional Amounts (whether upon required repurchase in connection with a Fundamental Change or on the Optional Repurchase Date, maturity or otherwise) after the Tax Redemption Date (or, if the Company fails to pay the Tax Redemption Price on the Tax Redemption Date, such later date on which the Company pays the Tax Redemption Price), and all future payments with respect to such Notes will be subject to the deduction or withholding of such Relevant Taxing Jurisdiction taxes required by law to be deducted or withheld as a result of such Change in Tax Law; </w:t>
      </w:r>
      <w:r>
        <w:rPr>
          <w:rFonts w:ascii="Times New Roman" w:hAnsi="Times New Roman"/>
          <w:i/>
          <w:sz w:val="20"/>
        </w:rPr>
        <w:t>provided</w:t>
      </w:r>
      <w:r>
        <w:rPr>
          <w:rFonts w:ascii="Times New Roman" w:hAnsi="Times New Roman"/>
          <w:sz w:val="20"/>
        </w:rPr>
        <w:t xml:space="preserve"> that, notwithstanding the foregoing, if a Note is converted in connection with such Tax Redemption pursuant to Section 14.01(b)(v) after the close of business on a Special Interest Record Date and prior to the open of business on the corresponding Special Interest Payment Date, the Company shall be obligated to pay Additional Amounts, if any, with respect to any Special Interest payable to the Holder of such Note at the close of business on such Special Interest Record Date notwithstanding the conversion. </w:t>
      </w:r>
    </w:p>
    <w:p>
      <w:pPr>
        <w:pStyle w:val="TextBody"/>
        <w:bidi w:val="0"/>
        <w:spacing w:before="240" w:after="0"/>
        <w:jc w:val="left"/>
        <w:rPr>
          <w:rFonts w:ascii="Times New Roman" w:hAnsi="Times New Roman"/>
          <w:sz w:val="20"/>
        </w:rPr>
      </w:pPr>
      <w:r>
        <w:rPr>
          <w:rFonts w:ascii="Times New Roman" w:hAnsi="Times New Roman"/>
          <w:sz w:val="20"/>
        </w:rPr>
        <w:t xml:space="preserve">(c) The Redemption Notice, if delivered in the manner herein provided, shall be conclusively presumed to have been duly given, whether or not the Holder receives such notice. In any case, failure to give such Redemption Notice or any defect in the Redemption Notice to the Holder of any Note designated for redemption as a whole or in part shall not affect the validity of the proceedings for the redemption of any other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16.03. </w:t>
      </w:r>
      <w:r>
        <w:rPr>
          <w:rFonts w:ascii="Times New Roman" w:hAnsi="Times New Roman"/>
          <w:i/>
          <w:sz w:val="20"/>
        </w:rPr>
        <w:t>Holder</w:t>
      </w:r>
      <w:r>
        <w:rPr>
          <w:rFonts w:ascii="Times New Roman" w:hAnsi="Times New Roman"/>
          <w:sz w:val="20"/>
        </w:rPr>
        <w:t>’</w:t>
      </w:r>
      <w:r>
        <w:rPr>
          <w:rFonts w:ascii="Times New Roman" w:hAnsi="Times New Roman"/>
          <w:i/>
          <w:sz w:val="20"/>
        </w:rPr>
        <w:t>s Right to Elect in Connection with a Tax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Upon receiving a Tax Redemption Notice, each Holder shall have the right to elect to not have its Notes redeemed, in which case the Company will not be obligated to pay any Additional Amounts on any payment with respect to such Notes solely as a result of the Change in Tax Law that resulted in the obligation to pay such Additional Amounts (whether upon required repurchase in connection with a Fundamental Change or on the Optional Repurchase Date, upon maturity or otherwise) after the Tax Redemption Date (or, if the Company fails to pay the Tax Redemption Price on the Tax Redemption Date, such later date on which the Company pays the Tax Redemption Price), and all future payments with respect to such Notes will be subject to the deduction or withholding of such Relevant Taxing Jurisdiction taxes required by law to be deducted or withheld as a result of such Change in Tax Law; </w:t>
      </w:r>
      <w:r>
        <w:rPr>
          <w:rFonts w:ascii="Times New Roman" w:hAnsi="Times New Roman"/>
          <w:i/>
          <w:sz w:val="20"/>
        </w:rPr>
        <w:t>provided</w:t>
      </w:r>
      <w:r>
        <w:rPr>
          <w:rFonts w:ascii="Times New Roman" w:hAnsi="Times New Roman"/>
          <w:sz w:val="20"/>
        </w:rPr>
        <w:t xml:space="preserve"> that, notwithstanding the foregoing, if a Note is converted in connection with such Tax Redemption pursuant to Section 14.01(b)(v) after the close of business on a Special Interest Record Date and prior to the open of business on the corresponding Special Interest Payment Date, the Company shall be obligated to pay Additional Amounts, if any, with respect to any Special Interest payable to the Holder of such Note at the close of business on such Special Interest Record Date notwithstanding the conversion. </w:t>
      </w:r>
    </w:p>
    <w:p>
      <w:pPr>
        <w:pStyle w:val="TextBody"/>
        <w:bidi w:val="0"/>
        <w:spacing w:before="240" w:after="0"/>
        <w:jc w:val="left"/>
        <w:rPr>
          <w:rFonts w:ascii="Times New Roman" w:hAnsi="Times New Roman"/>
          <w:sz w:val="20"/>
        </w:rPr>
      </w:pPr>
      <w:r>
        <w:rPr>
          <w:rFonts w:ascii="Times New Roman" w:hAnsi="Times New Roman"/>
          <w:sz w:val="20"/>
        </w:rPr>
        <w:t>(b) Upon receiving a Tax Redemption Notice, subject to the applicable procedures of the Depositary in the case of any Global Note, each Holder who does not wish to have the Company redeem its Notes pursuant to such Tax Redemption (any such Holder, an “</w:t>
      </w:r>
      <w:r>
        <w:rPr>
          <w:rFonts w:ascii="Times New Roman" w:hAnsi="Times New Roman"/>
          <w:b/>
          <w:sz w:val="20"/>
        </w:rPr>
        <w:t>Excluded Holder</w:t>
      </w:r>
      <w:r>
        <w:rPr>
          <w:rFonts w:ascii="Times New Roman" w:hAnsi="Times New Roman"/>
          <w:sz w:val="20"/>
        </w:rPr>
        <w:t>”) must deliver to the Paying Agent a written notice of election (the “</w:t>
      </w:r>
      <w:r>
        <w:rPr>
          <w:rFonts w:ascii="Times New Roman" w:hAnsi="Times New Roman"/>
          <w:b/>
          <w:sz w:val="20"/>
        </w:rPr>
        <w:t>Notice of Tax Redemption Election</w:t>
      </w:r>
      <w:r>
        <w:rPr>
          <w:rFonts w:ascii="Times New Roman" w:hAnsi="Times New Roman"/>
          <w:sz w:val="20"/>
        </w:rPr>
        <w:t xml:space="preserve">”) substantially in the form set forth in Attachment 5 to the Form of Note attached hereto as Exhibit A, or any other form of written notice substantially similar to the Notice of Tax Redemption Election, in each case, duly completed and signed, so as to be received by the Paying Agent prior to the close of business on the second Scheduled Trading Day immediately preceding the Tax Redemption Date (or, if the Company fails to pay the Tax Redemption Price on the Tax Redemption Date, such later date on which the Company pays the Tax Redemption Price); </w:t>
      </w:r>
      <w:r>
        <w:rPr>
          <w:rFonts w:ascii="Times New Roman" w:hAnsi="Times New Roman"/>
          <w:i/>
          <w:sz w:val="20"/>
        </w:rPr>
        <w:t xml:space="preserve">provided </w:t>
      </w:r>
      <w:r>
        <w:rPr>
          <w:rFonts w:ascii="Times New Roman" w:hAnsi="Times New Roman"/>
          <w:sz w:val="20"/>
        </w:rPr>
        <w:t xml:space="preserve">that, a Holder that complies with the requirements for conversion set forth under Section 14.02 will be deemed to have delivered a Notice of Tax Redemption Election. A Holder may withdraw any Notice of Tax Redemption Election (other than such a deemed Notice of Tax Redemption Election) by delivering to the Trustee and the Paying Agent a written notice of withdrawal prior to the close of business on the second Scheduled Trading Day immediately preceding the Tax Redemption Date (or, if the Company fails to pay the Tax Redemption Price on the Tax Redemption Date, such later date on which the Company pays the Tax Redemption Price). If no such election is made or deemed to have been made, the Holder will have its Notes redeemed without any further action. </w:t>
      </w:r>
    </w:p>
    <w:p>
      <w:pPr>
        <w:pStyle w:val="TextBody"/>
        <w:bidi w:val="0"/>
        <w:spacing w:before="240" w:after="0"/>
        <w:jc w:val="left"/>
        <w:rPr>
          <w:rFonts w:ascii="Times New Roman" w:hAnsi="Times New Roman"/>
          <w:sz w:val="20"/>
        </w:rPr>
      </w:pPr>
      <w:r>
        <w:rPr>
          <w:rFonts w:ascii="Times New Roman" w:hAnsi="Times New Roman"/>
          <w:sz w:val="20"/>
        </w:rPr>
        <w:t>Section 16.04</w:t>
      </w:r>
      <w:r>
        <w:rPr>
          <w:rFonts w:ascii="Times New Roman" w:hAnsi="Times New Roman"/>
          <w:i/>
          <w:sz w:val="20"/>
        </w:rPr>
        <w:t xml:space="preserve">. Effect of Redemption Notice. </w:t>
      </w:r>
      <w:r>
        <w:rPr>
          <w:rFonts w:ascii="Times New Roman" w:hAnsi="Times New Roman"/>
          <w:sz w:val="20"/>
        </w:rPr>
        <w:t xml:space="preserve">If any Redemption Notice has been given in respect of the Notes in accordance with Section 16.02, the Notes to be redeemed shall become due and payable on the Redemption Date at the place or places stated in the Redemption Notice and at the applicable Redemption Price, except for Notes which are converted pursuant to Article 14 and, in the case of a Tax Redemption Notice, except for Notes subject to a Notice of Tax Redemption Election and not validly withdrawn. On presentation and surrender of the Notes at the place or places stated in the Redemption Notice, the Notes shall be paid and redeemed by the Company at the applicable Redemption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16.05</w:t>
      </w:r>
      <w:r>
        <w:rPr>
          <w:rFonts w:ascii="Times New Roman" w:hAnsi="Times New Roman"/>
          <w:i/>
          <w:sz w:val="20"/>
        </w:rPr>
        <w:t xml:space="preserve">. Deposit of Redemption Price. </w:t>
      </w:r>
      <w:r>
        <w:rPr>
          <w:rFonts w:ascii="Times New Roman" w:hAnsi="Times New Roman"/>
          <w:sz w:val="20"/>
        </w:rPr>
        <w:t xml:space="preserve">Prior to the open of business on the Redemption Date, the Company shall deposit with the Paying Agent or, if the Company or a Subsidiary of the Company is acting as the Paying Agent, shall segregate and hold in trust as provided in Section 7.05 an amount of cash (in immediately available funds if deposited on the Redemption Date), sufficient to pay the Redemption Price of all of the Notes to be redeemed on such Redemption Date. Subject to receipt of funds by the Paying Agent, payment for the Notes to be redeemed shall be made on the Redemption Date for such Notes. The Paying Agent shall, promptly after such payment and upon written demand by the Company, return to the Company any funds in excess of the Redemption Price. </w:t>
      </w:r>
    </w:p>
    <w:p>
      <w:pPr>
        <w:pStyle w:val="TextBody"/>
        <w:bidi w:val="0"/>
        <w:spacing w:before="240" w:after="0"/>
        <w:jc w:val="left"/>
        <w:rPr>
          <w:rFonts w:ascii="Times New Roman" w:hAnsi="Times New Roman"/>
          <w:sz w:val="20"/>
        </w:rPr>
      </w:pPr>
      <w:r>
        <w:rPr>
          <w:rFonts w:ascii="Times New Roman" w:hAnsi="Times New Roman"/>
          <w:sz w:val="20"/>
        </w:rPr>
        <w:t>Section 16.06</w:t>
      </w:r>
      <w:r>
        <w:rPr>
          <w:rFonts w:ascii="Times New Roman" w:hAnsi="Times New Roman"/>
          <w:i/>
          <w:sz w:val="20"/>
        </w:rPr>
        <w:t>.</w:t>
      </w:r>
      <w:r>
        <w:rPr>
          <w:rFonts w:ascii="Times New Roman" w:hAnsi="Times New Roman"/>
          <w:sz w:val="20"/>
        </w:rPr>
        <w:t xml:space="preserve"> </w:t>
      </w:r>
      <w:r>
        <w:rPr>
          <w:rFonts w:ascii="Times New Roman" w:hAnsi="Times New Roman"/>
          <w:i/>
          <w:sz w:val="20"/>
        </w:rPr>
        <w:t xml:space="preserve">Partial Redemption. </w:t>
      </w:r>
      <w:r>
        <w:rPr>
          <w:rFonts w:ascii="Times New Roman" w:hAnsi="Times New Roman"/>
          <w:sz w:val="20"/>
        </w:rPr>
        <w:t xml:space="preserve">If fewer than all of the outstanding Notes are to be redeemed pursuant to a Provisional Redemption, in the case of a Global Note, the Notes or portions thereof to be redeemed (in principal amounts of $1,000 or multiples thereof) shall be selected according to the applicable procedures of the Depositary, or, in the case of Physical Notes, the Notes to be redeemed (in principal amounts of $1,000 or multiples thereof) shall be selected by the Trustee by lot, on a pro rata basis or by another method the Trustee considers to be fair and appropriate. If any Note selected for a partial Provisional Redemption is submitted for conversion in part after such selection, the portion of the Note submitted for conversion shall be deemed (so far as may be possible) to be the portion selected for such Provisional Redemption. Upon surrender of a Note that is to be redeemed in part, the Company shall execute and the Trustee shall authenticate and deliver to the Holder a new Note in an authorized denomination equal in principal amount to the unredeemed portion of the Note surrendered. </w:t>
      </w:r>
    </w:p>
    <w:p>
      <w:pPr>
        <w:pStyle w:val="TextBody"/>
        <w:bidi w:val="0"/>
        <w:spacing w:before="480" w:after="0"/>
        <w:jc w:val="center"/>
        <w:rPr>
          <w:rFonts w:ascii="Times New Roman" w:hAnsi="Times New Roman"/>
          <w:sz w:val="20"/>
        </w:rPr>
      </w:pPr>
      <w:r>
        <w:rPr>
          <w:rFonts w:ascii="Times New Roman" w:hAnsi="Times New Roman"/>
          <w:sz w:val="20"/>
        </w:rPr>
        <w:t xml:space="preserve">ARTICLE 17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Section 17.01</w:t>
      </w:r>
      <w:r>
        <w:rPr>
          <w:rFonts w:ascii="Times New Roman" w:hAnsi="Times New Roman"/>
          <w:i/>
          <w:sz w:val="20"/>
        </w:rPr>
        <w:t>. Provisions Binding on Company</w:t>
      </w:r>
      <w:r>
        <w:rPr>
          <w:rFonts w:ascii="Times New Roman" w:hAnsi="Times New Roman"/>
          <w:sz w:val="20"/>
        </w:rPr>
        <w:t>’</w:t>
      </w:r>
      <w:r>
        <w:rPr>
          <w:rFonts w:ascii="Times New Roman" w:hAnsi="Times New Roman"/>
          <w:i/>
          <w:sz w:val="20"/>
        </w:rPr>
        <w:t>s Successors.</w:t>
      </w:r>
      <w:r>
        <w:rPr>
          <w:rFonts w:ascii="Times New Roman" w:hAnsi="Times New Roman"/>
          <w:sz w:val="20"/>
        </w:rPr>
        <w:t xml:space="preserve"> All the covenants, stipulations, promises and agreements of the Company contained in this Indenture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Section 17.02</w:t>
      </w:r>
      <w:r>
        <w:rPr>
          <w:rFonts w:ascii="Times New Roman" w:hAnsi="Times New Roman"/>
          <w:i/>
          <w:sz w:val="20"/>
        </w:rPr>
        <w:t>. Official Acts by Successor Corporation.</w:t>
      </w:r>
      <w:r>
        <w:rPr>
          <w:rFonts w:ascii="Times New Roman" w:hAnsi="Times New Roman"/>
          <w:sz w:val="20"/>
        </w:rPr>
        <w:t xml:space="preserve">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 </w:t>
      </w:r>
    </w:p>
    <w:p>
      <w:pPr>
        <w:pStyle w:val="TextBody"/>
        <w:bidi w:val="0"/>
        <w:spacing w:before="240" w:after="0"/>
        <w:jc w:val="left"/>
        <w:rPr>
          <w:rFonts w:ascii="Times New Roman" w:hAnsi="Times New Roman"/>
          <w:sz w:val="20"/>
        </w:rPr>
      </w:pPr>
      <w:r>
        <w:rPr>
          <w:rFonts w:ascii="Times New Roman" w:hAnsi="Times New Roman"/>
          <w:sz w:val="20"/>
        </w:rPr>
        <w:t>Section 17.03</w:t>
      </w:r>
      <w:r>
        <w:rPr>
          <w:rFonts w:ascii="Times New Roman" w:hAnsi="Times New Roman"/>
          <w:i/>
          <w:sz w:val="20"/>
        </w:rPr>
        <w:t>. Addresses for Notices, Etc.</w:t>
      </w:r>
      <w:r>
        <w:rPr>
          <w:rFonts w:ascii="Times New Roman" w:hAnsi="Times New Roman"/>
          <w:sz w:val="20"/>
        </w:rPr>
        <w:t xml:space="preserve">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Silicon Motion Technology Corporation, 690 N. McCarthy Blvd., Suite 200, Milpitas, California 95035 Attention: Chief Financial Officer. Any notice, direction, request or demand hereunder to or upon the Trustee shall be deemed to have been sufficiently given or made, for all purposes, upon actual receipt by the Trustee at the Corporate Trust Office. </w:t>
      </w:r>
    </w:p>
    <w:p>
      <w:pPr>
        <w:pStyle w:val="TextBody"/>
        <w:bidi w:val="0"/>
        <w:spacing w:before="240" w:after="0"/>
        <w:jc w:val="left"/>
        <w:rPr>
          <w:rFonts w:ascii="Times New Roman" w:hAnsi="Times New Roman"/>
          <w:sz w:val="20"/>
        </w:rPr>
      </w:pPr>
      <w:r>
        <w:rPr>
          <w:rFonts w:ascii="Times New Roman" w:hAnsi="Times New Roman"/>
          <w:sz w:val="20"/>
        </w:rPr>
        <w:t xml:space="preserve">The Trustee, by notice to the Company, may designate additional or different addresses for subsequent notices or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or communication delivered or to be delivered to a Holder of Physical Notes shall be mailed to it by first class mail, postage prepaid, at its address as it appears on the Note Register and shall be sufficiently given to it if so mailed within the time prescribed. Any notice or communication delivered or to be delivered to a Holder of Global Notes shall be delivered in accordance with the applicable procedures of the Depositary and shall be sufficiently given to it if so delivered within the time prescribed. Notwithstanding any other provision of this Indenture or any Note, where this Indenture or any Note provides for notice of any event (including any Fundamental Change Company Notice or a Company Notice) to a Holder of a Global Note (whether by mail or otherwise), such notice shall be sufficiently given if given to the Depositary (or its designee) pursuant to the standing instructions from the Depositary or its designee, including by electronic mail in accordance with the Depositary’s applicable procedures. </w:t>
      </w:r>
    </w:p>
    <w:p>
      <w:pPr>
        <w:pStyle w:val="TextBody"/>
        <w:bidi w:val="0"/>
        <w:spacing w:before="240" w:after="0"/>
        <w:jc w:val="left"/>
        <w:rPr>
          <w:rFonts w:ascii="Times New Roman" w:hAnsi="Times New Roman"/>
          <w:sz w:val="20"/>
        </w:rPr>
      </w:pPr>
      <w:r>
        <w:rPr>
          <w:rFonts w:ascii="Times New Roman" w:hAnsi="Times New Roman"/>
          <w:sz w:val="20"/>
        </w:rPr>
        <w:t xml:space="preserve">Failure to mail or deliver a notice or communication to a Holder or any defect in it shall not affect its sufficiency with respect to other Holders. If a notice or communication is mailed or delivered, as the case may be, in the manner provided above, it is duly given, whether or not the addressee receives it. </w:t>
      </w:r>
    </w:p>
    <w:p>
      <w:pPr>
        <w:pStyle w:val="TextBody"/>
        <w:bidi w:val="0"/>
        <w:spacing w:before="240" w:after="0"/>
        <w:jc w:val="left"/>
        <w:rPr>
          <w:rFonts w:ascii="Times New Roman" w:hAnsi="Times New Roman"/>
          <w:sz w:val="20"/>
        </w:rPr>
      </w:pPr>
      <w:r>
        <w:rPr>
          <w:rFonts w:ascii="Times New Roman" w:hAnsi="Times New Roman"/>
          <w:sz w:val="20"/>
        </w:rPr>
        <w:t xml:space="preserve">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All notices, approvals, consents, requests and any communications hereunder that are required to be signed must be in writing in English. </w:t>
      </w:r>
    </w:p>
    <w:p>
      <w:pPr>
        <w:pStyle w:val="TextBody"/>
        <w:bidi w:val="0"/>
        <w:spacing w:before="240" w:after="0"/>
        <w:jc w:val="left"/>
        <w:rPr>
          <w:rFonts w:ascii="Times New Roman" w:hAnsi="Times New Roman"/>
          <w:sz w:val="20"/>
        </w:rPr>
      </w:pPr>
      <w:r>
        <w:rPr>
          <w:rFonts w:ascii="Times New Roman" w:hAnsi="Times New Roman"/>
          <w:sz w:val="20"/>
        </w:rPr>
        <w:t>Section 17.04</w:t>
      </w:r>
      <w:r>
        <w:rPr>
          <w:rFonts w:ascii="Times New Roman" w:hAnsi="Times New Roman"/>
          <w:i/>
          <w:sz w:val="20"/>
        </w:rPr>
        <w:t>. Governing Law; Jurisdiction.</w:t>
      </w:r>
      <w:r>
        <w:rPr>
          <w:rFonts w:ascii="Times New Roman" w:hAnsi="Times New Roman"/>
          <w:sz w:val="20"/>
        </w:rPr>
        <w:t xml:space="preserve"> THIS INDENTURE AND EACH NOTE, AND ANY CLAIM, CONTROVERSY OR DISPUTE ARISING UNDER OR RELATED TO THIS INDENTURE AND EACH NOTE, SHALL BE GOVERNED BY, AND CONSTRUED IN ACCORDANCE WITH, THE LAWS OF THE STATE OF NEW YORK (WITHOUT REGARD TO THE CONFLICTS OF LAWS PROVISIONS THEREOF).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consents and agrees, for the benefit of the Holders from time to time of the Notes and the Trustee, that any legal action, suit or proceeding against it with respect to obligations, liabilities or any other matter arising out of or in connection with this Indenture or the Notes may be brought in the courts of the State of New York or the courts of the United States located in the Borough of Manhattan, New York City, New York and, until amounts due and to become due in respect of the Notes have been paid, hereby irrevocably consents and submits to the non-exclusive jurisdiction of each such court </w:t>
      </w:r>
      <w:r>
        <w:rPr>
          <w:rFonts w:ascii="Times New Roman" w:hAnsi="Times New Roman"/>
          <w:i/>
          <w:sz w:val="20"/>
        </w:rPr>
        <w:t>in personam</w:t>
      </w:r>
      <w:r>
        <w:rPr>
          <w:rFonts w:ascii="Times New Roman" w:hAnsi="Times New Roman"/>
          <w:sz w:val="20"/>
        </w:rPr>
        <w:t xml:space="preserve">, generally and unconditionally with respect to any action, suit or proceeding for itself in respect of its properties, assets and revenues. The Company irrevocably appoints Law Debenture Corporate Services Inc., located at 420 Lexington Avenue, Suite 901, New York, New York 10170, as its authorized agent in the Borough of Manhattan in The City of New York upon which process may be served in any such legal action, suit or proceeding, and agrees that service of process upon such authorized agent, and written notice of such service to the Company by the person serving the same to the address provided in Section 17.03, shall be deemed in every respect effective service of process upon the Company in any such legal action, suit or proceeding. The Company hereby represents and warrants that such authorized agent has accepted such appointment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has agreed to act as such authorized agent for service of process. The Company further agrees to take any and all action as may be necessary to maintain such designation and appointment of such authorized agent in full force and effect for a period of seven years from the date of this Indenture. If for any reason such authorized agent shall cease to be such authorized agent for service of process, the Company shall forthwith appoint a new authorized agent of recognized standing for service of process in the State of New York and deliver to the Holder and the Trustee a copy of the new agent’s acceptance of that appointment within ten Business Days of such acceptance. Nothing herein shall affect the right of the Trustee or any Holder to serve process in any other manner permitted by law or to commence legal proceedings or otherwise proceed against the Company in any other court of competent jurisdiction. To the extent that the Company has or hereafter may acquire any sovereign or other immunity from jurisdiction of any court or from any legal process with respect to itself or its property, the Company irrevocably waives such immunity in respect of its obligations hereunder or under any Note. </w:t>
      </w:r>
    </w:p>
    <w:p>
      <w:pPr>
        <w:pStyle w:val="TextBody"/>
        <w:bidi w:val="0"/>
        <w:spacing w:before="240" w:after="0"/>
        <w:jc w:val="left"/>
        <w:rPr>
          <w:rFonts w:ascii="Times New Roman" w:hAnsi="Times New Roman"/>
          <w:sz w:val="20"/>
        </w:rPr>
      </w:pPr>
      <w:r>
        <w:rPr>
          <w:rFonts w:ascii="Times New Roman" w:hAnsi="Times New Roman"/>
          <w:sz w:val="20"/>
        </w:rPr>
        <w:t xml:space="preserve">The Company irrevocably and unconditionally waives, to the fullest extent permitted by law, any objection which it may now or hereafter have to the laying of venue of any of the aforesaid actions, suits or proceedings arising out of or in connection with this Indenture brought in the courts of the State of New York or the courts of the United States located in the Borough of Manhattan, New York City, New York and hereby further irrevocably and unconditionally waives and agrees not to plead or claim in any such court that any such action, suit or proceeding brought in any such court has been brought in an inconvenient forum. </w:t>
      </w:r>
    </w:p>
    <w:p>
      <w:pPr>
        <w:pStyle w:val="TextBody"/>
        <w:bidi w:val="0"/>
        <w:spacing w:before="240" w:after="0"/>
        <w:jc w:val="left"/>
        <w:rPr>
          <w:rFonts w:ascii="Times New Roman" w:hAnsi="Times New Roman"/>
          <w:sz w:val="20"/>
        </w:rPr>
      </w:pPr>
      <w:r>
        <w:rPr>
          <w:rFonts w:ascii="Times New Roman" w:hAnsi="Times New Roman"/>
          <w:sz w:val="20"/>
        </w:rPr>
        <w:t>Section 17.05</w:t>
      </w:r>
      <w:r>
        <w:rPr>
          <w:rFonts w:ascii="Times New Roman" w:hAnsi="Times New Roman"/>
          <w:i/>
          <w:sz w:val="20"/>
        </w:rPr>
        <w:t>. Evidence of Compliance with Conditions Precedent; Certificates and Opinions of Counsel to Trustee.</w:t>
      </w:r>
      <w:r>
        <w:rPr>
          <w:rFonts w:ascii="Times New Roman" w:hAnsi="Times New Roman"/>
          <w:sz w:val="20"/>
        </w:rPr>
        <w:t xml:space="preserve">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Each Officers’ Certificate and Opinion of Counsel provided for, by or on behalf of the Company in this Indenture and delivered to the Trustee with respect to compliance with this Indenture (other than the Officers’ Certificates provided for in Section 4.08) shall include (a) a statement that the person signing such certificate is familiar with the requested action and this Indenture; (b) a brief statement as to the nature and scope of the examination or investigation upon which the statement contained in such certificate is based; (c) a statement that, in the judgment of such person, he or she has made such examination or investigation as is necessary to enable him or her to express an informed judgment as to whether or not such action is permitted by this Indenture; and (d) a statement as to whether or not, in the judgment of such person, such action is permitted by this Indenture and that all conditions precedent to such action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this Section 17.05, if any provision in this Indenture specifically provides that the Trustee shall or may receive an Opinion of Counsel in connection with any action to be taken by the Trustee or the Company hereunder, the Trustee shall be entitled to such Opinion of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17.06</w:t>
      </w:r>
      <w:r>
        <w:rPr>
          <w:rFonts w:ascii="Times New Roman" w:hAnsi="Times New Roman"/>
          <w:i/>
          <w:sz w:val="20"/>
        </w:rPr>
        <w:t>. Legal Holidays.</w:t>
      </w:r>
      <w:r>
        <w:rPr>
          <w:rFonts w:ascii="Times New Roman" w:hAnsi="Times New Roman"/>
          <w:sz w:val="20"/>
        </w:rPr>
        <w:t xml:space="preserve"> In any case where any Special Interest Payment Date, any Redemption Date, the Optional Repurchase Date, any Fundamental Change Repurchase Date or the Maturity Date is not a Business Day or is a day on which financial institutions located in the state in which the Corporate Trust Office is located are authorized or required by law or executive order to close or be closed, then any action to be taken on such date need not be taken on such date, but may be taken on the next succeeding Business Day with the same force and effect as if taken on the relevant payment date, and no interest shall accrue in respect of the delay. </w:t>
      </w:r>
    </w:p>
    <w:p>
      <w:pPr>
        <w:pStyle w:val="TextBody"/>
        <w:bidi w:val="0"/>
        <w:spacing w:before="240" w:after="0"/>
        <w:jc w:val="left"/>
        <w:rPr>
          <w:rFonts w:ascii="Times New Roman" w:hAnsi="Times New Roman"/>
          <w:sz w:val="20"/>
        </w:rPr>
      </w:pPr>
      <w:r>
        <w:rPr>
          <w:rFonts w:ascii="Times New Roman" w:hAnsi="Times New Roman"/>
          <w:sz w:val="20"/>
        </w:rPr>
        <w:t>Section 17.07</w:t>
      </w:r>
      <w:r>
        <w:rPr>
          <w:rFonts w:ascii="Times New Roman" w:hAnsi="Times New Roman"/>
          <w:i/>
          <w:sz w:val="20"/>
        </w:rPr>
        <w:t>. No Security Interest Created.</w:t>
      </w:r>
      <w:r>
        <w:rPr>
          <w:rFonts w:ascii="Times New Roman" w:hAnsi="Times New Roman"/>
          <w:sz w:val="20"/>
        </w:rPr>
        <w:t xml:space="preserve"> Nothing in this Indenture or in the Notes, expressed or implied, shall be construed to constitute a security interest under the Uniform Commercial Code or similar legislation, as now or hereafter enacted and in effect, in any jurisdiction. </w:t>
      </w:r>
    </w:p>
    <w:p>
      <w:pPr>
        <w:pStyle w:val="TextBody"/>
        <w:bidi w:val="0"/>
        <w:spacing w:before="240" w:after="0"/>
        <w:jc w:val="left"/>
        <w:rPr>
          <w:rFonts w:ascii="Times New Roman" w:hAnsi="Times New Roman"/>
          <w:sz w:val="20"/>
        </w:rPr>
      </w:pPr>
      <w:r>
        <w:rPr>
          <w:rFonts w:ascii="Times New Roman" w:hAnsi="Times New Roman"/>
          <w:sz w:val="20"/>
        </w:rPr>
        <w:t>Section 17.08</w:t>
      </w:r>
      <w:r>
        <w:rPr>
          <w:rFonts w:ascii="Times New Roman" w:hAnsi="Times New Roman"/>
          <w:i/>
          <w:sz w:val="20"/>
        </w:rPr>
        <w:t>. Benefits of Indenture.</w:t>
      </w:r>
      <w:r>
        <w:rPr>
          <w:rFonts w:ascii="Times New Roman" w:hAnsi="Times New Roman"/>
          <w:sz w:val="20"/>
        </w:rPr>
        <w:t xml:space="preserve"> Nothing in this Indenture or in the Notes, expressed or implied, shall give to any Person, other than the Holders, the parties hereto, any Paying Agent, any Conversion Agent, any authenticating agent, any Note Registrar and their successors hereunder,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sz w:val="20"/>
        </w:rPr>
        <w:t>Section 17.09</w:t>
      </w:r>
      <w:r>
        <w:rPr>
          <w:rFonts w:ascii="Times New Roman" w:hAnsi="Times New Roman"/>
          <w:i/>
          <w:sz w:val="20"/>
        </w:rPr>
        <w:t>. Table of Contents, Headings, Etc.</w:t>
      </w:r>
      <w:r>
        <w:rPr>
          <w:rFonts w:ascii="Times New Roman" w:hAnsi="Times New Roman"/>
          <w:sz w:val="20"/>
        </w:rPr>
        <w:t xml:space="preserve"> The table of contents and the titles and headings of the articles and sections of this Indenture have been inserted for convenience of reference only, are not to be considered a part hereof, and shall in no way modify or restrict any of the terms or provisions hereof. </w:t>
      </w:r>
    </w:p>
    <w:p>
      <w:pPr>
        <w:pStyle w:val="TextBody"/>
        <w:bidi w:val="0"/>
        <w:spacing w:before="240" w:after="0"/>
        <w:jc w:val="left"/>
        <w:rPr>
          <w:rFonts w:ascii="Times New Roman" w:hAnsi="Times New Roman"/>
          <w:sz w:val="20"/>
        </w:rPr>
      </w:pPr>
      <w:r>
        <w:rPr>
          <w:rFonts w:ascii="Times New Roman" w:hAnsi="Times New Roman"/>
          <w:sz w:val="20"/>
        </w:rPr>
        <w:t>Section 17.10</w:t>
      </w:r>
      <w:r>
        <w:rPr>
          <w:rFonts w:ascii="Times New Roman" w:hAnsi="Times New Roman"/>
          <w:i/>
          <w:sz w:val="20"/>
        </w:rPr>
        <w:t>. Authenticating Agent.</w:t>
      </w:r>
      <w:r>
        <w:rPr>
          <w:rFonts w:ascii="Times New Roman" w:hAnsi="Times New Roman"/>
          <w:sz w:val="20"/>
        </w:rPr>
        <w:t xml:space="preserve">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15.04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17.10, without the execution or filing of any paper or any further act on the part of the parties hereto or the authenticating agent or such successor corporation or other entity.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deliver notice of such appointment to all Holders.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the authenticating agent from time to time reasonable compensation for its services although the Company may terminate the authenticating agent, if it determines such agent’s fees to be unreasonable.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Section 7.02, Section 7.03, Section 7.04, Section 8.03 and this Section 17.10 shall be applicable to any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If an authenticating agent is appointed pursuant to this Section 17.10, the Notes may have endorsed thereon, in addition to the Trustee’s certificate of authentication, an alternative certificate of authentication in the following form: </w:t>
      </w:r>
    </w:p>
    <w:p>
      <w:pPr>
        <w:pStyle w:val="TextBody"/>
        <w:bidi w:val="0"/>
        <w:spacing w:before="120" w:after="0"/>
        <w:jc w:val="left"/>
        <w:rPr/>
      </w:pPr>
      <w:r>
        <w:rPr>
          <w:u w:val="single"/>
        </w:rPr>
        <w:t>             </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as Authenticating Agent, certifies that this is one of the Notes described </w:t>
      </w:r>
    </w:p>
    <w:p>
      <w:pPr>
        <w:pStyle w:val="TextBody"/>
        <w:bidi w:val="0"/>
        <w:spacing w:before="0" w:after="0"/>
        <w:jc w:val="left"/>
        <w:rPr>
          <w:rFonts w:ascii="Times New Roman" w:hAnsi="Times New Roman"/>
          <w:sz w:val="20"/>
        </w:rPr>
      </w:pPr>
      <w:r>
        <w:rPr>
          <w:rFonts w:ascii="Times New Roman" w:hAnsi="Times New Roman"/>
          <w:sz w:val="20"/>
        </w:rPr>
        <w:t xml:space="preserve">in the within-named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840"/>
        <w:gridCol w:w="153"/>
        <w:gridCol w:w="3089"/>
      </w:tblGrid>
      <w:tr>
        <w:trPr/>
        <w:tc>
          <w:tcPr>
            <w:tcW w:w="840"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840" w:type="dxa"/>
            <w:tcBorders/>
          </w:tcPr>
          <w:p>
            <w:pPr>
              <w:pStyle w:val="TableContents"/>
              <w:bidi w:val="0"/>
              <w:spacing w:before="0" w:after="283"/>
              <w:jc w:val="left"/>
              <w:rPr/>
            </w:pPr>
            <w:r>
              <w:rPr/>
              <w:t>By:</w:t>
            </w:r>
          </w:p>
        </w:tc>
        <w:tc>
          <w:tcPr>
            <w:tcW w:w="153" w:type="dxa"/>
            <w:tcBorders>
              <w:bottom w:val="single" w:sz="2" w:space="0" w:color="000000"/>
            </w:tcBorders>
            <w:tcMar>
              <w:bottom w:w="28" w:type="dxa"/>
            </w:tcMar>
            <w:vAlign w:val="bottom"/>
          </w:tcPr>
          <w:p>
            <w:pPr>
              <w:pStyle w:val="TableContents"/>
              <w:bidi w:val="0"/>
              <w:spacing w:before="0" w:after="283"/>
              <w:jc w:val="left"/>
              <w:rPr/>
            </w:pPr>
            <w:r>
              <w:rPr/>
              <w:t> </w:t>
            </w:r>
          </w:p>
        </w:tc>
        <w:tc>
          <w:tcPr>
            <w:tcW w:w="3089"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283"/>
              <w:jc w:val="left"/>
              <w:rPr/>
            </w:pPr>
            <w:r>
              <w:rPr/>
              <w:t>Authorized Officer</w:t>
            </w:r>
          </w:p>
        </w:tc>
      </w:tr>
    </w:tbl>
    <w:p>
      <w:pPr>
        <w:pStyle w:val="TextBody"/>
        <w:bidi w:val="0"/>
        <w:spacing w:before="240" w:after="0"/>
        <w:jc w:val="left"/>
        <w:rPr>
          <w:rFonts w:ascii="Times New Roman" w:hAnsi="Times New Roman"/>
          <w:sz w:val="20"/>
        </w:rPr>
      </w:pPr>
      <w:r>
        <w:rPr>
          <w:rFonts w:ascii="Times New Roman" w:hAnsi="Times New Roman"/>
          <w:sz w:val="20"/>
        </w:rPr>
        <w:t>Section 17.11</w:t>
      </w:r>
      <w:r>
        <w:rPr>
          <w:rFonts w:ascii="Times New Roman" w:hAnsi="Times New Roman"/>
          <w:i/>
          <w:sz w:val="20"/>
        </w:rPr>
        <w:t>. Execution in Counterparts; Electronic Signatures.</w:t>
      </w:r>
      <w:r>
        <w:rPr>
          <w:rFonts w:ascii="Times New Roman" w:hAnsi="Times New Roman"/>
          <w:sz w:val="20"/>
        </w:rPr>
        <w:t xml:space="preserve"> This Indenture may be executed in any number of counterparts, each of which shall be an original, but such counterparts shall together constitute but one and the same instrument. The exchange of copies of this Indenture and of signature pages by facsimile or PDF or other electronic transmission shall constitute effective execution and delivery of this Indenture as to the parties hereto and may be used in lieu of the original Indenture for all purposes. Signatures of the parties hereto transmitted by facsimile or PDF or other electronic means shall be deemed to be their original signatures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 writing to the Trustee by the authorized representative),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sz w:val="20"/>
        </w:rPr>
        <w:t>Section 17.12</w:t>
      </w:r>
      <w:r>
        <w:rPr>
          <w:rFonts w:ascii="Times New Roman" w:hAnsi="Times New Roman"/>
          <w:i/>
          <w:sz w:val="20"/>
        </w:rPr>
        <w:t>. Severability.</w:t>
      </w:r>
      <w:r>
        <w:rPr>
          <w:rFonts w:ascii="Times New Roman" w:hAnsi="Times New Roman"/>
          <w:sz w:val="20"/>
        </w:rPr>
        <w:t xml:space="preserve"> In the event any provision of this Indenture or in the Notes shall be invalid, illegal or unenforceable, then (to the extent permitted by law) the validity, legality or enforceability of the remaining provisions shall not in any way be affected or impaired. </w:t>
      </w:r>
    </w:p>
    <w:p>
      <w:pPr>
        <w:pStyle w:val="TextBody"/>
        <w:bidi w:val="0"/>
        <w:spacing w:before="240" w:after="0"/>
        <w:jc w:val="left"/>
        <w:rPr>
          <w:rFonts w:ascii="Times New Roman" w:hAnsi="Times New Roman"/>
          <w:sz w:val="20"/>
        </w:rPr>
      </w:pPr>
      <w:r>
        <w:rPr>
          <w:rFonts w:ascii="Times New Roman" w:hAnsi="Times New Roman"/>
          <w:sz w:val="20"/>
        </w:rPr>
        <w:t>Section 17.13</w:t>
      </w:r>
      <w:r>
        <w:rPr>
          <w:rFonts w:ascii="Times New Roman" w:hAnsi="Times New Roman"/>
          <w:i/>
          <w:sz w:val="20"/>
        </w:rPr>
        <w:t>. Waiver of Jury Trial.</w:t>
      </w:r>
      <w:r>
        <w:rPr>
          <w:rFonts w:ascii="Times New Roman" w:hAnsi="Times New Roman"/>
          <w:sz w:val="20"/>
        </w:rPr>
        <w:t xml:space="preserve"> EACH OF THE COMPANY AND THE TRUSTEE HEREBY IRREVOCABLY WAIVES, TO THE FULLEST EXTENT PERMITTED BY APPLICABLE LAW, ANY AND ALL RIGHT TO TRIAL BY JURY IN ANY LEGAL PROCEEDING ARISING OUT OF OR RELATING TO THIS INDENTURE, THE NOTES OR THE TRANSACTIONS CONTEMPLATED 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17.14</w:t>
      </w:r>
      <w:r>
        <w:rPr>
          <w:rFonts w:ascii="Times New Roman" w:hAnsi="Times New Roman"/>
          <w:i/>
          <w:sz w:val="20"/>
        </w:rPr>
        <w:t>. Force Majeure.</w:t>
      </w:r>
      <w:r>
        <w:rPr>
          <w:rFonts w:ascii="Times New Roman" w:hAnsi="Times New Roman"/>
          <w:sz w:val="20"/>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pandemics, epidemics,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 </w:t>
      </w:r>
    </w:p>
    <w:p>
      <w:pPr>
        <w:pStyle w:val="TextBody"/>
        <w:bidi w:val="0"/>
        <w:spacing w:before="240" w:after="0"/>
        <w:jc w:val="left"/>
        <w:rPr>
          <w:rFonts w:ascii="Times New Roman" w:hAnsi="Times New Roman"/>
          <w:sz w:val="20"/>
        </w:rPr>
      </w:pPr>
      <w:r>
        <w:rPr>
          <w:rFonts w:ascii="Times New Roman" w:hAnsi="Times New Roman"/>
          <w:sz w:val="20"/>
        </w:rPr>
        <w:t>Section 17.15</w:t>
      </w:r>
      <w:r>
        <w:rPr>
          <w:rFonts w:ascii="Times New Roman" w:hAnsi="Times New Roman"/>
          <w:i/>
          <w:sz w:val="20"/>
        </w:rPr>
        <w:t>. Calculations</w:t>
      </w:r>
      <w:r>
        <w:rPr>
          <w:rFonts w:ascii="Times New Roman" w:hAnsi="Times New Roman"/>
          <w:sz w:val="20"/>
        </w:rPr>
        <w:t xml:space="preserve">. Except as otherwise provided herein, the Company shall be responsible for making all calculations called for under this Indenture and the Notes. These calculations include, but are not limited to, determinations of the ADS Price, the Last Reported Sale Prices of the ADSs, the Trading Price of the Notes (for purposes of determining whether the Notes are convertible as described in Section 14.01(b)(i)), the Daily VWAPs, the Daily Conversion Values, the Daily Net Settlement Amounts, the Daily Settlement Amounts, accrued Special Interest, if any, payable on the Notes, any Additional Amounts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the Paying Agent and the Conversion Agent, and each of the Trustee, the Paying Agent and Conversion Agent is entitled to rely conclusively upon the accuracy of the Company’s calculations without independent verification (and neither the Conversion Agent nor the Trustee shall have any responsibility for such calculations). The Trustee will forward the Company’s calculations to any Holder of Notes upon the written request of that Holder at the sole cost and expense of the Company. For the avoidance of doubt, the Trustee shall have no obligation to calculate or verify the calculation of the accrued and unpaid interest, if any, on the Notes. Neither the Trustee nor the Conversion Agent shall have any responsibility to monitor the accuracy of any calculation of any adjustment to the Conversion Rate. </w:t>
      </w:r>
    </w:p>
    <w:p>
      <w:pPr>
        <w:pStyle w:val="TextBody"/>
        <w:bidi w:val="0"/>
        <w:spacing w:before="240" w:after="0"/>
        <w:jc w:val="left"/>
        <w:rPr>
          <w:rFonts w:ascii="Times New Roman" w:hAnsi="Times New Roman"/>
          <w:sz w:val="20"/>
        </w:rPr>
      </w:pPr>
      <w:r>
        <w:rPr>
          <w:rFonts w:ascii="Times New Roman" w:hAnsi="Times New Roman"/>
          <w:sz w:val="20"/>
        </w:rPr>
        <w:t xml:space="preserve">Section 17.16. </w:t>
      </w:r>
      <w:r>
        <w:rPr>
          <w:rFonts w:ascii="Times New Roman" w:hAnsi="Times New Roman"/>
          <w:i/>
          <w:sz w:val="20"/>
        </w:rPr>
        <w:t xml:space="preserve">USA PATRIOT Act. </w:t>
      </w: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7"/>
        <w:gridCol w:w="60"/>
        <w:gridCol w:w="3645"/>
      </w:tblGrid>
      <w:tr>
        <w:trPr/>
        <w:tc>
          <w:tcPr>
            <w:tcW w:w="3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SILICON MOTION TECHNOLOGY CORPORATION</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5"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Jason Tsai</w:t>
            </w:r>
          </w:p>
        </w:tc>
      </w:tr>
      <w:tr>
        <w:trPr/>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Name: Jason Tsai</w:t>
            </w:r>
          </w:p>
        </w:tc>
      </w:tr>
      <w:tr>
        <w:trPr/>
        <w:tc>
          <w:tcPr>
            <w:tcW w:w="3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5" w:type="dxa"/>
            <w:tcBorders/>
          </w:tcPr>
          <w:p>
            <w:pPr>
              <w:pStyle w:val="TableContents"/>
              <w:bidi w:val="0"/>
              <w:spacing w:before="0" w:after="283"/>
              <w:jc w:val="left"/>
              <w:rPr/>
            </w:pPr>
            <w:r>
              <w:rPr/>
              <w:t>Title:  Chief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 as Trustee</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Adina M. Casper</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Name: Adina M. Casper</w:t>
            </w:r>
          </w:p>
        </w:tc>
      </w:tr>
      <w:tr>
        <w:trPr/>
        <w:tc>
          <w:tcPr>
            <w:tcW w:w="37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bidi w:val="0"/>
              <w:spacing w:before="0" w:after="283"/>
              <w:jc w:val="left"/>
              <w:rPr/>
            </w:pPr>
            <w:r>
              <w:rPr/>
              <w:t>Title:  Vice President</w:t>
            </w:r>
          </w:p>
        </w:tc>
      </w:tr>
    </w:tbl>
    <w:p>
      <w:pPr>
        <w:pStyle w:val="HorizontalLine"/>
        <w:pBdr>
          <w:bottom w:val="double" w:sz="6" w:space="0" w:color="808080"/>
        </w:pBdr>
        <w:bidi w:val="0"/>
        <w:jc w:val="left"/>
        <w:rPr/>
      </w:pPr>
      <w:r>
        <w:br w:type="page"/>
      </w:r>
      <w:r>
        <w:rPr/>
      </w:r>
    </w:p>
    <w:p>
      <w:pPr>
        <w:pStyle w:val="TextBody"/>
        <w:bidi w:val="0"/>
        <w:spacing w:before="0" w:after="0"/>
        <w:jc w:val="right"/>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[FORM OF FACE OF NOTE] </w:t>
      </w:r>
    </w:p>
    <w:p>
      <w:pPr>
        <w:pStyle w:val="TextBody"/>
        <w:bidi w:val="0"/>
        <w:spacing w:before="120" w:after="0"/>
        <w:jc w:val="center"/>
        <w:rPr>
          <w:rFonts w:ascii="Times New Roman" w:hAnsi="Times New Roman"/>
          <w:sz w:val="20"/>
        </w:rPr>
      </w:pPr>
      <w:r>
        <w:rPr>
          <w:rFonts w:ascii="Times New Roman" w:hAnsi="Times New Roman"/>
          <w:sz w:val="20"/>
        </w:rPr>
        <w:t xml:space="preserve">[INCLUDE FOLLOWING LEGEND IF A GLOBAL NOTE] </w:t>
      </w:r>
    </w:p>
    <w:p>
      <w:pPr>
        <w:pStyle w:val="TextBody"/>
        <w:bidi w:val="0"/>
        <w:spacing w:before="24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HEREUNDER IS MADE TO CEDE &amp; CO. OR TO SUCH OTHER ENTITY AS IS REQUESTED BY AN AUTHORIZED REPRESENTATIVE OF DTC), ANY TRANSFER, PLEDGE, OR OTHER USE HEREOF FOR VALUE OR OTHERWISE BY OR TO ANY PERSON IS WRONGFUL INASMUCH AS THE REGISTERED OWNER HEREOF, CEDE &amp; CO., HAS AN INTEREST HEREIN.] </w:t>
      </w:r>
    </w:p>
    <w:p>
      <w:pPr>
        <w:pStyle w:val="TextBody"/>
        <w:bidi w:val="0"/>
        <w:spacing w:before="240" w:after="0"/>
        <w:jc w:val="center"/>
        <w:rPr>
          <w:rFonts w:ascii="Times New Roman" w:hAnsi="Times New Roman"/>
          <w:sz w:val="20"/>
        </w:rPr>
      </w:pPr>
      <w:r>
        <w:rPr>
          <w:rFonts w:ascii="Times New Roman" w:hAnsi="Times New Roman"/>
          <w:sz w:val="20"/>
        </w:rPr>
        <w:t xml:space="preserve">[INCLUDE FOLLOWING LEGEND IF A RESTRICTED SECURITY] </w:t>
      </w:r>
    </w:p>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THIS NOTE, THE AMERICAN DEPOSITARY SHARES, IF ANY, ISSUABLE UPON CONVERSION OF THIS NOTE AND THE ORDINARY SHARES REPRESENTED THEREBY HAVE NOT BEEN REGISTERED UNDER THE SECURITIES ACT OF 1933, AS AMENDED (THE “SECURITIES ACT”), AND THIS NOTE, THE AMERICAN DEPOSITARY SHARES, IF ANY, ISSUABLE UPON CONVERSION OF THIS NOTE AND THE ORDINARY SHARES REPRESENTED THEREBY MAY NOT BE OFFERED, SOLD, PLEDGED OR OTHERWISE TRANSFERRED EXCEPT IN ACCORDANCE WITH THE FOLLOWING SENTENCE. BY ITS ACQUISITION HEREOF OR OF A BENEFICIAL INTEREST HEREIN, THE ACQUIRER: </w:t>
      </w:r>
    </w:p>
    <w:p>
      <w:pPr>
        <w:pStyle w:val="TextBody"/>
        <w:bidi w:val="0"/>
        <w:spacing w:before="120" w:after="0"/>
        <w:jc w:val="left"/>
        <w:rPr>
          <w:rFonts w:ascii="Times New Roman" w:hAnsi="Times New Roman"/>
          <w:sz w:val="20"/>
        </w:rPr>
      </w:pPr>
      <w:r>
        <w:rPr>
          <w:rFonts w:ascii="Times New Roman" w:hAnsi="Times New Roman"/>
          <w:sz w:val="20"/>
        </w:rPr>
        <w:t xml:space="preserve">(1) REPRESENTS THAT IT AND ANY ACCOUNT FOR WHICH IT IS ACTING IS A “QUALIFIED INSTITUTIONAL BUYER” (WITHIN THE MEANING OF RULE 144A UNDER THE SECURITIES ACT) AND THAT IT EXERCISES SOLE INVESTMENT DISCRETION WITH RESPECT TO EACH SUCH ACCOUNT; AND </w:t>
      </w:r>
    </w:p>
    <w:p>
      <w:pPr>
        <w:pStyle w:val="TextBody"/>
        <w:bidi w:val="0"/>
        <w:spacing w:before="120" w:after="0"/>
        <w:jc w:val="left"/>
        <w:rPr>
          <w:rFonts w:ascii="Times New Roman" w:hAnsi="Times New Roman"/>
          <w:sz w:val="20"/>
        </w:rPr>
      </w:pPr>
      <w:r>
        <w:rPr>
          <w:rFonts w:ascii="Times New Roman" w:hAnsi="Times New Roman"/>
          <w:sz w:val="20"/>
        </w:rPr>
        <w:t xml:space="preserve">(2) AGREES FOR THE BENEFIT OF SILICON MOTION TECHNOLOGY CORPORATION (THE “COMPANY”) THAT IT WILL NOT OFFER, SELL, PLEDGE OR OTHERWISE TRANSFER THIS NOTE, THE AMERICAN DEPOSITARY SHARES, IF ANY, ISSUABLE UPON CONVERSION OF THIS NOTE OR THE ORDINARY SHARES REPRESENTED THEREBY, OR ANY BENEFICIAL INTEREST HEREIN OR THEREIN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 </w:t>
      </w:r>
    </w:p>
    <w:p>
      <w:pPr>
        <w:pStyle w:val="TextBody"/>
        <w:bidi w:val="0"/>
        <w:spacing w:before="120" w:after="0"/>
        <w:jc w:val="left"/>
        <w:rPr>
          <w:rFonts w:ascii="Times New Roman" w:hAnsi="Times New Roman"/>
          <w:sz w:val="20"/>
        </w:rPr>
      </w:pPr>
      <w:r>
        <w:rPr>
          <w:rFonts w:ascii="Times New Roman" w:hAnsi="Times New Roman"/>
          <w:sz w:val="20"/>
        </w:rPr>
        <w:t xml:space="preserve">(A) TO THE COMPANY OR ANY SUBSIDIARY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PURSUANT TO A REGISTRATION STATEMENT THAT HAS BEEN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(C) TO A PERSON REASONABLY BELIEVED TO BE A QUALIFIED INSTITUTIONAL BUYER THAT IS PURCHASING FOR ITS OWN ACCOUNT OR FOR THE ACCOUNT OF ANOTHER QUALIFIED INSTITUTIONAL BUYER AND TO WHOM NOTICE IS GIVEN THAT THE TRANSFER IS BEING MADE IN RELIANCE ON RULE 144A, ALL IN COMPLIANCE WITH RULE 144A UNDER THE SECURITIES ACT; OR </w:t>
      </w:r>
    </w:p>
    <w:p>
      <w:pPr>
        <w:pStyle w:val="TextBody"/>
        <w:bidi w:val="0"/>
        <w:spacing w:before="120" w:after="0"/>
        <w:jc w:val="left"/>
        <w:rPr>
          <w:rFonts w:ascii="Times New Roman" w:hAnsi="Times New Roman"/>
          <w:sz w:val="20"/>
        </w:rPr>
      </w:pPr>
      <w:r>
        <w:rPr>
          <w:rFonts w:ascii="Times New Roman" w:hAnsi="Times New Roman"/>
          <w:sz w:val="20"/>
        </w:rPr>
        <w:t xml:space="preserve">(D) PURSUANT TO THE EXEMPTION FROM REGISTRATION PROVIDED BY RULE 144 UNDER THE SECURITIES ACT (IF AVAILABLE) OR ANY OTHER AVAILABLE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PRIOR TO THE REGISTRATION OF ANY TRANSFER IN ACCORDANCE WITH CLAUSE (2)(D) ABOVE, THE COMPANY AND THE TRUSTEE RESERVE THE RIGHT TO REQUIRE THE DELIVERY OF SUCH LEGAL OPINIONS, CERTIFICATIONS OR OTHER EVIDENCE AS MAY REASONABLY BE REQUIRED IN ORDER FOR THEM TO DETERMINE THAT THE PROPOSED TRANSFER IS BEING MADE IN COMPLIANCE WITH THE SECURITIES ACT AND APPLICABLE STATE SECURITIES LAWS. NO REPRESENTATION IS MADE AS TO THE AVAILABILITY OF ANY EXEMPTION FROM THE REGISTRATION REQUIREMENTS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NO AFFILIATE (AS DEFINED IN RULE 144 UNDER THE SECURITIES ACT) OF SILICON MOTION TECHNOLOGY CORPORATION OR PERSON THAT HAS BEEN AN AFFILIATE (AS DEFINED IN RULE 144 UNDER THE SECURITIES ACT) OF SILICON MOTION TECHNOLOGY CORPORATION DURING THE IMMEDIATELY PRECEDING THREE MONTHS MAY PURCHASE, OTHERWISE ACQUIRE OR HOLD THIS SECURITY OR A BENEFICIAL INTEREST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120" w:after="0"/>
        <w:jc w:val="center"/>
        <w:rPr>
          <w:rFonts w:ascii="Times New Roman" w:hAnsi="Times New Roman"/>
          <w:sz w:val="20"/>
        </w:rPr>
      </w:pPr>
      <w:r>
        <w:rPr>
          <w:rFonts w:ascii="Times New Roman" w:hAnsi="Times New Roman"/>
          <w:sz w:val="20"/>
        </w:rPr>
        <w:t xml:space="preserve">0.00% Convertible Senior Note due 2031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8754"/>
        <w:gridCol w:w="1451"/>
      </w:tblGrid>
      <w:tr>
        <w:trPr/>
        <w:tc>
          <w:tcPr>
            <w:tcW w:w="8754"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[_____] </w:t>
            </w:r>
          </w:p>
        </w:tc>
        <w:tc>
          <w:tcPr>
            <w:tcW w:w="1451" w:type="dxa"/>
            <w:tcBorders/>
          </w:tcPr>
          <w:p>
            <w:pPr>
              <w:pStyle w:val="TableContents"/>
              <w:bidi w:val="0"/>
              <w:spacing w:before="0" w:after="20"/>
              <w:jc w:val="right"/>
              <w:rPr>
                <w:rFonts w:ascii="Times New Roman" w:hAnsi="Times New Roman"/>
                <w:sz w:val="20"/>
              </w:rPr>
            </w:pPr>
            <w:r>
              <w:rPr>
                <w:rFonts w:ascii="Times New Roman" w:hAnsi="Times New Roman"/>
                <w:sz w:val="20"/>
              </w:rPr>
              <w:t xml:space="preserve">[Initially]1 $[_________] </w:t>
            </w:r>
          </w:p>
        </w:tc>
      </w:tr>
    </w:tbl>
    <w:p>
      <w:pPr>
        <w:pStyle w:val="TextBody"/>
        <w:bidi w:val="0"/>
        <w:spacing w:before="240" w:after="0"/>
        <w:jc w:val="left"/>
        <w:rPr>
          <w:rFonts w:ascii="Times New Roman" w:hAnsi="Times New Roman"/>
          <w:sz w:val="20"/>
        </w:rPr>
      </w:pPr>
      <w:r>
        <w:rPr>
          <w:rFonts w:ascii="Times New Roman" w:hAnsi="Times New Roman"/>
          <w:sz w:val="20"/>
        </w:rPr>
        <w:t xml:space="preserve">CUSIP No. [_________] </w:t>
      </w:r>
    </w:p>
    <w:p>
      <w:pPr>
        <w:pStyle w:val="TextBody"/>
        <w:bidi w:val="0"/>
        <w:spacing w:before="240" w:after="0"/>
        <w:jc w:val="left"/>
        <w:rPr>
          <w:rFonts w:ascii="Times New Roman" w:hAnsi="Times New Roman"/>
          <w:sz w:val="20"/>
        </w:rPr>
      </w:pPr>
      <w:r>
        <w:rPr>
          <w:rFonts w:ascii="Times New Roman" w:hAnsi="Times New Roman"/>
          <w:sz w:val="20"/>
        </w:rPr>
        <w:t>Silicon Motion Technology Corporation, a Cayman Islands exempted company (the “</w:t>
      </w:r>
      <w:r>
        <w:rPr>
          <w:rFonts w:ascii="Times New Roman" w:hAnsi="Times New Roman"/>
          <w:b/>
          <w:sz w:val="20"/>
        </w:rPr>
        <w:t>Company</w:t>
      </w:r>
      <w:r>
        <w:rPr>
          <w:rFonts w:ascii="Times New Roman" w:hAnsi="Times New Roman"/>
          <w:sz w:val="20"/>
        </w:rPr>
        <w:t xml:space="preserve">,” which term includes any successor corporation or other entity under the Indenture referred to on the reverse hereof), for value received hereby promises to pay to [CEDE &amp; CO.]2 [_______]3, or registered assigns, the principal sum [as set forth in the “Schedule of Exchanges of Notes” attached hereto]4 [of $[_______]]5, which amount, taken together with the principal amounts of all other outstanding Notes, shall not, unless permitted by the Indenture, exceed $1,150,000,000 in aggregate at any time, in accordance with the rules and procedures of the Depositary, on August 15, 2031, and Special Interest, if any, thereon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not bear regular interest, and the principal amount shall not accrete. Any accrued Special Interest on this Note is payable semi-annually in arrears on each February 15 and August 15, commencing on February 15, 2027 (if any Special Interest is then payable), to Holders of record at the close of business on the preceding February 1 and August 1 (whether or not such day is a Business Day), respectively. Any Special Interest will be payable as set forth in Section 4.06(d), Section 4.06(e) and Section 6.03 of the within-mentioned Indenture, and any reference to interest on, or in respect of, any Note therein shall be deemed to refer only to Special Interest if, in such context, Special Interest is, was or would be payable pursuant to any of such Section 4.06(d), Section 4.06(e) or Section 6.03, and/or any interest payable on any Defaulted Amounts as set forth in Section 2.03(c)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Defaulted Amounts shall not accrue interest unless Special Interest was payable on the required payment date, in which case such Defaulted Amounts shall accrue interest per annum at the then-applicable rate of Special Interest borne by the Notes, subject to the enforceability thereof under applicable law, from, and including, the relevant payment date to, but excluding, the date on which such Defaulted Amounts shall have been paid by the Company, at its election, in accordance with Section 2.03(c)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the principal of and interest, if any, on this Note, if and so long as such Note is a Global Note, by wire transfer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Corporate Trust Office in the contiguous United States of America, as a place where Notes may be presented for payment or for registration of transfer or for exchange and conversion. </w:t>
      </w:r>
    </w:p>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physical note.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physical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Reference is made to the further provisions of this Note set forth on the reverse hereof, including, without limitation, provisions giving the Holder of this Note the right to convert this Note into cash and ADSs, if any, on the terms and subject to the limitations set forth in the Indenture. Such further provisions shall for all purposes have the same effect as though fully set forth at this place. </w:t>
      </w:r>
    </w:p>
    <w:p>
      <w:pPr>
        <w:pStyle w:val="TextBody"/>
        <w:bidi w:val="0"/>
        <w:spacing w:before="240" w:after="0"/>
        <w:jc w:val="left"/>
        <w:rPr>
          <w:rFonts w:ascii="Times New Roman" w:hAnsi="Times New Roman"/>
          <w:b/>
          <w:sz w:val="20"/>
        </w:rPr>
      </w:pPr>
      <w:r>
        <w:rPr>
          <w:rFonts w:ascii="Times New Roman" w:hAnsi="Times New Roman"/>
          <w:b/>
          <w:sz w:val="20"/>
        </w:rPr>
        <w:t xml:space="preserve">This Note, and any claim, controversy or dispute arising under or related to this Note, shall be construed in accordance with and governed by the laws of the State of New York (without regard to the conflicts of laws provisions thereof).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conflict between this Note and the Indenture, the provisions of the Indenture shall control and govern. </w:t>
      </w:r>
    </w:p>
    <w:p>
      <w:pPr>
        <w:pStyle w:val="TextBody"/>
        <w:bidi w:val="0"/>
        <w:spacing w:before="240" w:after="0"/>
        <w:jc w:val="left"/>
        <w:rPr>
          <w:rFonts w:ascii="Times New Roman" w:hAnsi="Times New Roman"/>
          <w:sz w:val="20"/>
        </w:rPr>
      </w:pPr>
      <w:r>
        <w:rPr>
          <w:rFonts w:ascii="Times New Roman" w:hAnsi="Times New Roman"/>
          <w:sz w:val="20"/>
        </w:rPr>
        <w:t xml:space="preserve">This Note shall not be valid or become obligatory for any purpose until the certificate of authentication hereon shall have been signed manually by the Trustee or a duly authorized authenticating agent under the Indenture.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Company has caused this Note to be duly executed.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80"/>
        <w:gridCol w:w="91"/>
        <w:gridCol w:w="3511"/>
      </w:tblGrid>
      <w:tr>
        <w:trPr/>
        <w:tc>
          <w:tcPr>
            <w:tcW w:w="480"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35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SILICON MOTION TECHNOLOGY CORPORATION</w:t>
            </w:r>
          </w:p>
        </w:tc>
      </w:tr>
      <w:tr>
        <w:trPr>
          <w:trHeight w:val="240" w:hRule="atLeast"/>
        </w:trPr>
        <w:tc>
          <w:tcPr>
            <w:tcW w:w="480" w:type="dxa"/>
            <w:tcBorders/>
            <w:vAlign w:val="center"/>
          </w:tcPr>
          <w:p>
            <w:pPr>
              <w:pStyle w:val="TableContents"/>
              <w:bidi w:val="0"/>
              <w:spacing w:before="0" w:after="283"/>
              <w:jc w:val="left"/>
              <w:rPr>
                <w:sz w:val="4"/>
                <w:szCs w:val="4"/>
              </w:rPr>
            </w:pPr>
            <w:r>
              <w:rPr>
                <w:sz w:val="4"/>
                <w:szCs w:val="4"/>
              </w:rPr>
            </w:r>
          </w:p>
        </w:tc>
        <w:tc>
          <w:tcPr>
            <w:tcW w:w="3602"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91" w:type="dxa"/>
            <w:tcBorders/>
            <w:vAlign w:val="bottom"/>
          </w:tcPr>
          <w:p>
            <w:pPr>
              <w:pStyle w:val="TableContents"/>
              <w:bidi w:val="0"/>
              <w:spacing w:before="0" w:after="283"/>
              <w:jc w:val="left"/>
              <w:rPr/>
            </w:pPr>
            <w:r>
              <w:rPr/>
              <w:t> </w:t>
            </w:r>
          </w:p>
        </w:tc>
        <w:tc>
          <w:tcPr>
            <w:tcW w:w="3511" w:type="dxa"/>
            <w:tcBorders/>
          </w:tcPr>
          <w:p>
            <w:pPr>
              <w:pStyle w:val="TableContents"/>
              <w:pBdr>
                <w:bottom w:val="single" w:sz="2" w:space="1" w:color="000000"/>
              </w:pBdr>
              <w:bidi w:val="0"/>
              <w:spacing w:before="0" w:after="20"/>
              <w:jc w:val="left"/>
              <w:rPr/>
            </w:pPr>
            <w:r>
              <w:rPr/>
              <w:t> </w:t>
            </w:r>
          </w:p>
        </w:tc>
      </w:tr>
      <w:tr>
        <w:trPr/>
        <w:tc>
          <w:tcPr>
            <w:tcW w:w="480"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left"/>
              <w:rPr/>
            </w:pPr>
            <w:r>
              <w:rPr/>
              <w:t>Name:</w:t>
            </w:r>
          </w:p>
        </w:tc>
      </w:tr>
      <w:tr>
        <w:trPr/>
        <w:tc>
          <w:tcPr>
            <w:tcW w:w="480" w:type="dxa"/>
            <w:tcBorders/>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pPr>
            <w:r>
              <w:rPr/>
              <w:t> </w:t>
            </w:r>
          </w:p>
        </w:tc>
        <w:tc>
          <w:tcPr>
            <w:tcW w:w="3511" w:type="dxa"/>
            <w:tcBorders/>
          </w:tcPr>
          <w:p>
            <w:pPr>
              <w:pStyle w:val="TableContents"/>
              <w:bidi w:val="0"/>
              <w:spacing w:before="0" w:after="283"/>
              <w:jc w:val="left"/>
              <w:rPr/>
            </w:pPr>
            <w:r>
              <w:rPr/>
              <w:t>Title:</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w:t>
      </w:r>
    </w:p>
    <w:p>
      <w:pPr>
        <w:pStyle w:val="TextBody"/>
        <w:bidi w:val="0"/>
        <w:spacing w:before="240" w:after="0"/>
        <w:jc w:val="left"/>
        <w:rPr>
          <w:rFonts w:ascii="Times New Roman" w:hAnsi="Times New Roman"/>
          <w:sz w:val="20"/>
        </w:rPr>
      </w:pPr>
      <w:r>
        <w:rPr>
          <w:rFonts w:ascii="Times New Roman" w:hAnsi="Times New Roman"/>
          <w:sz w:val="20"/>
        </w:rPr>
        <w:t xml:space="preserve">TRUSTEE’S CERTIFICATE OF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w:t>
      </w:r>
    </w:p>
    <w:p>
      <w:pPr>
        <w:pStyle w:val="TextBody"/>
        <w:bidi w:val="0"/>
        <w:spacing w:before="0" w:after="0"/>
        <w:jc w:val="left"/>
        <w:rPr>
          <w:rFonts w:ascii="Times New Roman" w:hAnsi="Times New Roman"/>
          <w:sz w:val="20"/>
        </w:rPr>
      </w:pPr>
      <w:r>
        <w:rPr>
          <w:rFonts w:ascii="Times New Roman" w:hAnsi="Times New Roman"/>
          <w:sz w:val="20"/>
        </w:rPr>
        <w:t xml:space="preserve">as Trustee, certifies that this is one of the Notes described </w:t>
      </w:r>
    </w:p>
    <w:p>
      <w:pPr>
        <w:pStyle w:val="TextBody"/>
        <w:bidi w:val="0"/>
        <w:spacing w:before="0" w:after="0"/>
        <w:jc w:val="left"/>
        <w:rPr>
          <w:rFonts w:ascii="Times New Roman" w:hAnsi="Times New Roman"/>
          <w:sz w:val="20"/>
        </w:rPr>
      </w:pPr>
      <w:r>
        <w:rPr>
          <w:rFonts w:ascii="Times New Roman" w:hAnsi="Times New Roman"/>
          <w:sz w:val="20"/>
        </w:rPr>
        <w:t xml:space="preserve">in the within-named Indenture.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9"/>
        <w:gridCol w:w="61"/>
        <w:gridCol w:w="3662"/>
      </w:tblGrid>
      <w:tr>
        <w:trPr/>
        <w:tc>
          <w:tcPr>
            <w:tcW w:w="3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vAlign w:val="bottom"/>
          </w:tcPr>
          <w:p>
            <w:pPr>
              <w:pStyle w:val="TableContents"/>
              <w:bidi w:val="0"/>
              <w:spacing w:before="0" w:after="283"/>
              <w:jc w:val="left"/>
              <w:rPr/>
            </w:pPr>
            <w:r>
              <w:rPr/>
              <w:t> </w:t>
            </w:r>
          </w:p>
        </w:tc>
        <w:tc>
          <w:tcPr>
            <w:tcW w:w="3662" w:type="dxa"/>
            <w:tcBorders/>
          </w:tcPr>
          <w:p>
            <w:pPr>
              <w:pStyle w:val="TableContents"/>
              <w:pBdr>
                <w:bottom w:val="single" w:sz="2" w:space="1" w:color="000000"/>
              </w:pBdr>
              <w:bidi w:val="0"/>
              <w:spacing w:before="0" w:after="20"/>
              <w:jc w:val="left"/>
              <w:rPr/>
            </w:pPr>
            <w:r>
              <w:rPr/>
              <w:t> </w:t>
            </w:r>
          </w:p>
        </w:tc>
      </w:tr>
      <w:tr>
        <w:trPr/>
        <w:tc>
          <w:tcPr>
            <w:tcW w:w="35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2" w:type="dxa"/>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[FORM OF REVERSE OF NOTE] </w:t>
      </w:r>
    </w:p>
    <w:p>
      <w:pPr>
        <w:pStyle w:val="TextBody"/>
        <w:bidi w:val="0"/>
        <w:spacing w:before="12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0" w:after="0"/>
        <w:jc w:val="center"/>
        <w:rPr>
          <w:rFonts w:ascii="Times New Roman" w:hAnsi="Times New Roman"/>
          <w:sz w:val="20"/>
        </w:rPr>
      </w:pPr>
      <w:r>
        <w:rPr>
          <w:rFonts w:ascii="Times New Roman" w:hAnsi="Times New Roman"/>
          <w:sz w:val="20"/>
        </w:rPr>
        <w:t xml:space="preserve">0.00% Convertible Senior Note due 2031 </w:t>
      </w:r>
    </w:p>
    <w:p>
      <w:pPr>
        <w:pStyle w:val="TextBody"/>
        <w:bidi w:val="0"/>
        <w:spacing w:before="240" w:after="0"/>
        <w:jc w:val="left"/>
        <w:rPr>
          <w:rFonts w:ascii="Times New Roman" w:hAnsi="Times New Roman"/>
          <w:sz w:val="20"/>
        </w:rPr>
      </w:pPr>
      <w:r>
        <w:rPr>
          <w:rFonts w:ascii="Times New Roman" w:hAnsi="Times New Roman"/>
          <w:sz w:val="20"/>
        </w:rPr>
        <w:t>This Note is one of a duly authorized issue of Notes of the Company, designated as its 0.00% Convertible Senior Notes due 2031 (the “</w:t>
      </w:r>
      <w:r>
        <w:rPr>
          <w:rFonts w:ascii="Times New Roman" w:hAnsi="Times New Roman"/>
          <w:b/>
          <w:sz w:val="20"/>
        </w:rPr>
        <w:t>Notes</w:t>
      </w:r>
      <w:r>
        <w:rPr>
          <w:rFonts w:ascii="Times New Roman" w:hAnsi="Times New Roman"/>
          <w:sz w:val="20"/>
        </w:rPr>
        <w:t>”), limited to the aggregate principal amount of $1,150,000,000 all issued or to be issued under and pursuant to an Indenture dated as of August 13, 2026 (the “</w:t>
      </w:r>
      <w:r>
        <w:rPr>
          <w:rFonts w:ascii="Times New Roman" w:hAnsi="Times New Roman"/>
          <w:b/>
          <w:sz w:val="20"/>
        </w:rPr>
        <w:t>Indenture</w:t>
      </w:r>
      <w:r>
        <w:rPr>
          <w:rFonts w:ascii="Times New Roman" w:hAnsi="Times New Roman"/>
          <w:sz w:val="20"/>
        </w:rPr>
        <w:t>”), between the Company and U.S. Bank Trust Company, National Association (the “</w:t>
      </w:r>
      <w:r>
        <w:rPr>
          <w:rFonts w:ascii="Times New Roman" w:hAnsi="Times New Roman"/>
          <w:b/>
          <w:sz w:val="20"/>
        </w:rPr>
        <w:t>Trustee</w:t>
      </w:r>
      <w:r>
        <w:rPr>
          <w:rFonts w:ascii="Times New Roman" w:hAnsi="Times New Roman"/>
          <w:sz w:val="20"/>
        </w:rPr>
        <w:t xml:space="preserve">”),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 Capitalized terms used in this Note and not defined in this Note shall have the respective meanings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case certain Events of Default shall have occurred and be continuing, the principal of, and accrued and unpaid Special Interest, if any,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Indenture, the Company will make all payments and deliveries in respect of the Optional Repurchase Price on the Optional Repurchase Date, the Fundamental Change Repurchase Price on the Fundamental Change Repurchase Date, the Redemption Price on any Redemption Date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 </w:t>
      </w:r>
    </w:p>
    <w:p>
      <w:pPr>
        <w:pStyle w:val="TextBody"/>
        <w:bidi w:val="0"/>
        <w:spacing w:before="240" w:after="0"/>
        <w:jc w:val="left"/>
        <w:rPr>
          <w:rFonts w:ascii="Times New Roman" w:hAnsi="Times New Roman"/>
          <w:sz w:val="20"/>
        </w:rPr>
      </w:pPr>
      <w:r>
        <w:rPr>
          <w:rFonts w:ascii="Times New Roman" w:hAnsi="Times New Roman"/>
          <w:sz w:val="20"/>
        </w:rPr>
        <w:t xml:space="preserve">Each Holder shall have the right to receive payment or delivery, as the case may be, of (x) the principal (including the Redemption Price, the Optional Repurchase Price and the Fundamental Change Repurchase Price, if applicable) of, (y) accrued and unpaid Special Interest, if any, on, and (z) the consideration due upon conversion of, this Note at the place, at the respective times, at the rate and in the lawful money or ADSs, as the case may be, herein prescribed.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of the Indenture, Additional Amounts will be paid for withholdings or deductions imposed by a Relevant Tax Jurisdiction with respect to any payments of principal (including the Fundamental Change Repurchase Price, the Optional Repurchase Price and Redemption Price, if applicable) or any Special Interest on the Notes (but excluding, for the avoidance of doubt, any payments or deliveries due upon conversion of the Notes, whether made in cash, ADSs or Reference Property) to ensure that the net amount received by the beneficial owners of the Notes after such withholding or deduction (and after deducting any Applicable Taxes on the Additional Amounts) under such Relevant Tax Jurisdiction will equal the amount that would have been received by such beneficial owners had no such withholding or deduction been required.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conditions specified in the Indenture, the Company may redeem the Notes for cash at its option, in whole but not in part, in connection with a Change in Tax Law. In addition, the Company may also redeem all or, subject to the Partial Redemption Limitation, any portion of the Notes for cash, at its option, on or after August 20, 2029 in accordance with the terms and subject to the conditions specified in the Indenture. The Redemption Date must be a Business Day and the Company shall not specify a Redemption Date that falls on or after the 41st Scheduled Trading Day immediately preceding the Maturity Date. No sinking fund is provided for the Notes. </w:t>
      </w:r>
    </w:p>
    <w:p>
      <w:pPr>
        <w:pStyle w:val="TextBody"/>
        <w:bidi w:val="0"/>
        <w:spacing w:before="240" w:after="0"/>
        <w:jc w:val="left"/>
        <w:rPr>
          <w:rFonts w:ascii="Times New Roman" w:hAnsi="Times New Roman"/>
          <w:sz w:val="20"/>
        </w:rPr>
      </w:pPr>
      <w:r>
        <w:rPr>
          <w:rFonts w:ascii="Times New Roman" w:hAnsi="Times New Roman"/>
          <w:sz w:val="20"/>
        </w:rPr>
        <w:t xml:space="preserve">The Holder has the right, at such Holder’s option, to require the Company to repurchase for cash all of such Holder’s Notes or any portion thereof (in minimum principal amounts of $1,000 or multiples of $1,000 in excess thereof) on the Optional Repurchase Date at a price equal to the Optional Repurchase Price. </w:t>
      </w:r>
    </w:p>
    <w:p>
      <w:pPr>
        <w:pStyle w:val="TextBody"/>
        <w:bidi w:val="0"/>
        <w:spacing w:before="240" w:after="0"/>
        <w:jc w:val="left"/>
        <w:rPr>
          <w:rFonts w:ascii="Times New Roman" w:hAnsi="Times New Roman"/>
          <w:sz w:val="20"/>
        </w:rPr>
      </w:pPr>
      <w:r>
        <w:rPr>
          <w:rFonts w:ascii="Times New Roman" w:hAnsi="Times New Roman"/>
          <w:sz w:val="20"/>
        </w:rPr>
        <w:t xml:space="preserve">Upon the occurrence of a Fundamental Change (other than an Exempted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provisions of the Indenture, the Holder hereof has the right, at its option, during certain periods and upon the occurrence of certain conditions specified in the Indenture, prior to the close of business on the second Scheduled Trading Day immediately preceding the Maturity Date, to convert any Notes or portion thereof that is $1,000 or an integral multiple thereof, into cash and ADSs, if any, at the Conversion Rate specified in the Indenture, as adjusted from time to time as provided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ABBREVIATIONS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abbreviations, when used in the inscription of the face of this Note, shall be construed as though they were written out in full according to applicable laws or regulations: </w:t>
      </w:r>
    </w:p>
    <w:p>
      <w:pPr>
        <w:pStyle w:val="TextBody"/>
        <w:bidi w:val="0"/>
        <w:spacing w:before="120" w:after="0"/>
        <w:jc w:val="left"/>
        <w:rPr>
          <w:rFonts w:ascii="Times New Roman" w:hAnsi="Times New Roman"/>
          <w:sz w:val="20"/>
        </w:rPr>
      </w:pPr>
      <w:r>
        <w:rPr>
          <w:rFonts w:ascii="Times New Roman" w:hAnsi="Times New Roman"/>
          <w:sz w:val="20"/>
        </w:rPr>
        <w:t xml:space="preserve">TEN COM =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UNIF GIFT MIN ACT = Uniform Gifts to Minors Act </w:t>
      </w:r>
    </w:p>
    <w:p>
      <w:pPr>
        <w:pStyle w:val="TextBody"/>
        <w:bidi w:val="0"/>
        <w:spacing w:before="240" w:after="0"/>
        <w:jc w:val="left"/>
        <w:rPr>
          <w:rFonts w:ascii="Times New Roman" w:hAnsi="Times New Roman"/>
          <w:sz w:val="20"/>
        </w:rPr>
      </w:pPr>
      <w:r>
        <w:rPr>
          <w:rFonts w:ascii="Times New Roman" w:hAnsi="Times New Roman"/>
          <w:sz w:val="20"/>
        </w:rPr>
        <w:t xml:space="preserve">CUST = Custodian </w:t>
      </w:r>
    </w:p>
    <w:p>
      <w:pPr>
        <w:pStyle w:val="TextBody"/>
        <w:bidi w:val="0"/>
        <w:spacing w:before="240" w:after="0"/>
        <w:jc w:val="left"/>
        <w:rPr>
          <w:rFonts w:ascii="Times New Roman" w:hAnsi="Times New Roman"/>
          <w:sz w:val="20"/>
        </w:rPr>
      </w:pPr>
      <w:r>
        <w:rPr>
          <w:rFonts w:ascii="Times New Roman" w:hAnsi="Times New Roman"/>
          <w:sz w:val="20"/>
        </w:rPr>
        <w:t xml:space="preserve">TEN ENT = as tenants by the entireties </w:t>
      </w:r>
    </w:p>
    <w:p>
      <w:pPr>
        <w:pStyle w:val="TextBody"/>
        <w:bidi w:val="0"/>
        <w:spacing w:before="240" w:after="0"/>
        <w:jc w:val="left"/>
        <w:rPr>
          <w:rFonts w:ascii="Times New Roman" w:hAnsi="Times New Roman"/>
          <w:sz w:val="20"/>
        </w:rPr>
      </w:pPr>
      <w:r>
        <w:rPr>
          <w:rFonts w:ascii="Times New Roman" w:hAnsi="Times New Roman"/>
          <w:sz w:val="20"/>
        </w:rPr>
        <w:t xml:space="preserve">JT TEN = joint tenants with right of survivorship and not as tenants in common </w:t>
      </w:r>
    </w:p>
    <w:p>
      <w:pPr>
        <w:pStyle w:val="TextBody"/>
        <w:bidi w:val="0"/>
        <w:spacing w:before="240" w:after="0"/>
        <w:jc w:val="left"/>
        <w:rPr>
          <w:rFonts w:ascii="Times New Roman" w:hAnsi="Times New Roman"/>
          <w:sz w:val="20"/>
        </w:rPr>
      </w:pPr>
      <w:r>
        <w:rPr>
          <w:rFonts w:ascii="Times New Roman" w:hAnsi="Times New Roman"/>
          <w:sz w:val="20"/>
        </w:rPr>
        <w:t xml:space="preserve">Additional abbreviations may also be used though not in the above list.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SCHEDULE A6 </w:t>
      </w:r>
    </w:p>
    <w:p>
      <w:pPr>
        <w:pStyle w:val="TextBody"/>
        <w:bidi w:val="0"/>
        <w:spacing w:before="240" w:after="0"/>
        <w:jc w:val="center"/>
        <w:rPr>
          <w:rFonts w:ascii="Times New Roman" w:hAnsi="Times New Roman"/>
          <w:sz w:val="20"/>
        </w:rPr>
      </w:pPr>
      <w:r>
        <w:rPr>
          <w:rFonts w:ascii="Times New Roman" w:hAnsi="Times New Roman"/>
          <w:sz w:val="20"/>
        </w:rPr>
        <w:t xml:space="preserve">SCHEDULE OF EXCHANGES OF NOTES </w:t>
      </w:r>
    </w:p>
    <w:p>
      <w:pPr>
        <w:pStyle w:val="TextBody"/>
        <w:bidi w:val="0"/>
        <w:spacing w:before="12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0" w:after="0"/>
        <w:jc w:val="center"/>
        <w:rPr>
          <w:rFonts w:ascii="Times New Roman" w:hAnsi="Times New Roman"/>
          <w:sz w:val="20"/>
        </w:rPr>
      </w:pPr>
      <w:r>
        <w:rPr>
          <w:rFonts w:ascii="Times New Roman" w:hAnsi="Times New Roman"/>
          <w:sz w:val="20"/>
        </w:rPr>
        <w:t xml:space="preserve">0.00% Convertible Senior Notes due 2031 </w:t>
      </w:r>
    </w:p>
    <w:p>
      <w:pPr>
        <w:pStyle w:val="TextBody"/>
        <w:bidi w:val="0"/>
        <w:spacing w:before="240" w:after="0"/>
        <w:jc w:val="left"/>
        <w:rPr>
          <w:rFonts w:ascii="Times New Roman" w:hAnsi="Times New Roman"/>
          <w:sz w:val="20"/>
        </w:rPr>
      </w:pPr>
      <w:r>
        <w:rPr>
          <w:rFonts w:ascii="Times New Roman" w:hAnsi="Times New Roman"/>
          <w:sz w:val="20"/>
        </w:rPr>
        <w:t xml:space="preserve">The initial principal amount of this Global Note is _______ DOLLARS ($[_________]). The following increases or decreases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37"/>
        <w:gridCol w:w="101"/>
        <w:gridCol w:w="1939"/>
        <w:gridCol w:w="101"/>
        <w:gridCol w:w="2043"/>
        <w:gridCol w:w="101"/>
        <w:gridCol w:w="2042"/>
        <w:gridCol w:w="101"/>
        <w:gridCol w:w="1940"/>
      </w:tblGrid>
      <w:tr>
        <w:trPr/>
        <w:tc>
          <w:tcPr>
            <w:tcW w:w="183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183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Date of exchange</w:t>
            </w:r>
          </w:p>
        </w:tc>
        <w:tc>
          <w:tcPr>
            <w:tcW w:w="101" w:type="dxa"/>
            <w:tcBorders/>
            <w:vAlign w:val="bottom"/>
          </w:tcPr>
          <w:p>
            <w:pPr>
              <w:pStyle w:val="TableContents"/>
              <w:bidi w:val="0"/>
              <w:spacing w:before="0" w:after="283"/>
              <w:jc w:val="left"/>
              <w:rPr/>
            </w:pPr>
            <w:r>
              <w:rPr/>
              <w:t> </w:t>
            </w:r>
          </w:p>
        </w:tc>
        <w:tc>
          <w:tcPr>
            <w:tcW w:w="1939"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20"/>
              <w:jc w:val="center"/>
              <w:rPr>
                <w:rFonts w:ascii="Times New Roman" w:hAnsi="Times New Roman"/>
                <w:sz w:val="16"/>
              </w:rPr>
            </w:pPr>
            <w:r>
              <w:rPr>
                <w:rFonts w:ascii="Times New Roman" w:hAnsi="Times New Roman"/>
                <w:sz w:val="16"/>
              </w:rPr>
              <w:t>of this Global Note</w:t>
            </w:r>
          </w:p>
        </w:tc>
        <w:tc>
          <w:tcPr>
            <w:tcW w:w="101" w:type="dxa"/>
            <w:tcBorders/>
            <w:vAlign w:val="bottom"/>
          </w:tcPr>
          <w:p>
            <w:pPr>
              <w:pStyle w:val="TableContents"/>
              <w:bidi w:val="0"/>
              <w:spacing w:before="0" w:after="283"/>
              <w:jc w:val="left"/>
              <w:rPr/>
            </w:pPr>
            <w:r>
              <w:rPr/>
              <w:t> </w:t>
            </w:r>
          </w:p>
        </w:tc>
        <w:tc>
          <w:tcPr>
            <w:tcW w:w="204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increase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20"/>
              <w:jc w:val="center"/>
              <w:rPr>
                <w:rFonts w:ascii="Times New Roman" w:hAnsi="Times New Roman"/>
                <w:sz w:val="16"/>
              </w:rPr>
            </w:pPr>
            <w:r>
              <w:rPr>
                <w:rFonts w:ascii="Times New Roman" w:hAnsi="Times New Roman"/>
                <w:sz w:val="16"/>
              </w:rPr>
              <w:t>of this Global Note</w:t>
            </w:r>
          </w:p>
        </w:tc>
        <w:tc>
          <w:tcPr>
            <w:tcW w:w="101" w:type="dxa"/>
            <w:tcBorders/>
            <w:vAlign w:val="bottom"/>
          </w:tcPr>
          <w:p>
            <w:pPr>
              <w:pStyle w:val="TableContents"/>
              <w:bidi w:val="0"/>
              <w:spacing w:before="0" w:after="283"/>
              <w:jc w:val="left"/>
              <w:rPr/>
            </w:pPr>
            <w:r>
              <w:rPr/>
              <w:t> </w:t>
            </w:r>
          </w:p>
        </w:tc>
        <w:tc>
          <w:tcPr>
            <w:tcW w:w="2042"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bidi w:val="0"/>
              <w:spacing w:before="0" w:after="0"/>
              <w:jc w:val="center"/>
              <w:rPr>
                <w:rFonts w:ascii="Times New Roman" w:hAnsi="Times New Roman"/>
                <w:sz w:val="16"/>
              </w:rPr>
            </w:pPr>
            <w:r>
              <w:rPr>
                <w:rFonts w:ascii="Times New Roman" w:hAnsi="Times New Roman"/>
                <w:sz w:val="16"/>
              </w:rPr>
              <w:t>of this Global Note</w:t>
            </w:r>
          </w:p>
          <w:p>
            <w:pPr>
              <w:pStyle w:val="TableContents"/>
              <w:bidi w:val="0"/>
              <w:spacing w:before="0" w:after="0"/>
              <w:jc w:val="center"/>
              <w:rPr>
                <w:rFonts w:ascii="Times New Roman" w:hAnsi="Times New Roman"/>
                <w:sz w:val="16"/>
              </w:rPr>
            </w:pPr>
            <w:r>
              <w:rPr>
                <w:rFonts w:ascii="Times New Roman" w:hAnsi="Times New Roman"/>
                <w:sz w:val="16"/>
              </w:rPr>
              <w:t>following such</w:t>
            </w:r>
          </w:p>
          <w:p>
            <w:pPr>
              <w:pStyle w:val="TableContents"/>
              <w:bidi w:val="0"/>
              <w:spacing w:before="0" w:after="0"/>
              <w:jc w:val="center"/>
              <w:rPr>
                <w:rFonts w:ascii="Times New Roman" w:hAnsi="Times New Roman"/>
                <w:sz w:val="16"/>
              </w:rPr>
            </w:pPr>
            <w:r>
              <w:rPr>
                <w:rFonts w:ascii="Times New Roman" w:hAnsi="Times New Roman"/>
                <w:sz w:val="16"/>
              </w:rPr>
              <w:t>decrease or</w:t>
            </w:r>
          </w:p>
          <w:p>
            <w:pPr>
              <w:pStyle w:val="TableContents"/>
              <w:bidi w:val="0"/>
              <w:spacing w:before="0" w:after="20"/>
              <w:jc w:val="center"/>
              <w:rPr>
                <w:rFonts w:ascii="Times New Roman" w:hAnsi="Times New Roman"/>
                <w:sz w:val="16"/>
              </w:rPr>
            </w:pPr>
            <w:r>
              <w:rPr>
                <w:rFonts w:ascii="Times New Roman" w:hAnsi="Times New Roman"/>
                <w:sz w:val="16"/>
              </w:rPr>
              <w:t>increase</w:t>
            </w:r>
          </w:p>
        </w:tc>
        <w:tc>
          <w:tcPr>
            <w:tcW w:w="101" w:type="dxa"/>
            <w:tcBorders/>
            <w:vAlign w:val="bottom"/>
          </w:tcPr>
          <w:p>
            <w:pPr>
              <w:pStyle w:val="TableContents"/>
              <w:bidi w:val="0"/>
              <w:spacing w:before="0" w:after="283"/>
              <w:jc w:val="left"/>
              <w:rPr/>
            </w:pPr>
            <w:r>
              <w:rPr/>
              <w:t> </w:t>
            </w:r>
          </w:p>
        </w:tc>
        <w:tc>
          <w:tcPr>
            <w:tcW w:w="19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sz w:val="16"/>
              </w:rPr>
            </w:pPr>
            <w:r>
              <w:rPr>
                <w:rFonts w:ascii="Times New Roman" w:hAnsi="Times New Roman"/>
                <w:sz w:val="16"/>
              </w:rPr>
              <w:t>Signature of</w:t>
            </w:r>
          </w:p>
          <w:p>
            <w:pPr>
              <w:pStyle w:val="TableContents"/>
              <w:bidi w:val="0"/>
              <w:spacing w:before="0" w:after="0"/>
              <w:jc w:val="center"/>
              <w:rPr>
                <w:rFonts w:ascii="Times New Roman" w:hAnsi="Times New Roman"/>
                <w:sz w:val="16"/>
              </w:rPr>
            </w:pPr>
            <w:r>
              <w:rPr>
                <w:rFonts w:ascii="Times New Roman" w:hAnsi="Times New Roman"/>
                <w:sz w:val="16"/>
              </w:rPr>
              <w:t>authorized</w:t>
            </w:r>
          </w:p>
          <w:p>
            <w:pPr>
              <w:pStyle w:val="TableContents"/>
              <w:bidi w:val="0"/>
              <w:spacing w:before="0" w:after="0"/>
              <w:jc w:val="center"/>
              <w:rPr>
                <w:rFonts w:ascii="Times New Roman" w:hAnsi="Times New Roman"/>
                <w:sz w:val="16"/>
              </w:rPr>
            </w:pPr>
            <w:r>
              <w:rPr>
                <w:rFonts w:ascii="Times New Roman" w:hAnsi="Times New Roman"/>
                <w:sz w:val="16"/>
              </w:rPr>
              <w:t>signatory of</w:t>
            </w:r>
          </w:p>
          <w:p>
            <w:pPr>
              <w:pStyle w:val="TableContents"/>
              <w:bidi w:val="0"/>
              <w:spacing w:before="0" w:after="0"/>
              <w:jc w:val="center"/>
              <w:rPr>
                <w:rFonts w:ascii="Times New Roman" w:hAnsi="Times New Roman"/>
                <w:sz w:val="16"/>
              </w:rPr>
            </w:pPr>
            <w:r>
              <w:rPr>
                <w:rFonts w:ascii="Times New Roman" w:hAnsi="Times New Roman"/>
                <w:sz w:val="16"/>
              </w:rPr>
              <w:t>Trustee or</w:t>
            </w:r>
          </w:p>
          <w:p>
            <w:pPr>
              <w:pStyle w:val="TableContents"/>
              <w:bidi w:val="0"/>
              <w:spacing w:before="0" w:after="20"/>
              <w:jc w:val="center"/>
              <w:rPr>
                <w:rFonts w:ascii="Times New Roman" w:hAnsi="Times New Roman"/>
                <w:sz w:val="16"/>
              </w:rPr>
            </w:pPr>
            <w:r>
              <w:rPr>
                <w:rFonts w:ascii="Times New Roman" w:hAnsi="Times New Roman"/>
                <w:sz w:val="16"/>
              </w:rPr>
              <w:t>Custodian</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r>
        <w:trPr>
          <w:trHeight w:val="120" w:hRule="atLeast"/>
        </w:trPr>
        <w:tc>
          <w:tcPr>
            <w:tcW w:w="1837" w:type="dxa"/>
            <w:tcBorders/>
            <w:vAlign w:val="center"/>
          </w:tcPr>
          <w:p>
            <w:pPr>
              <w:pStyle w:val="TableContents"/>
              <w:bidi w:val="0"/>
              <w:spacing w:before="0" w:after="283"/>
              <w:jc w:val="left"/>
              <w:rPr>
                <w:sz w:val="4"/>
                <w:szCs w:val="4"/>
              </w:rPr>
            </w:pPr>
            <w:r>
              <w:rPr>
                <w:sz w:val="4"/>
                <w:szCs w:val="4"/>
              </w:rPr>
            </w:r>
          </w:p>
        </w:tc>
        <w:tc>
          <w:tcPr>
            <w:tcW w:w="2040" w:type="dxa"/>
            <w:gridSpan w:val="2"/>
            <w:tcBorders/>
            <w:vAlign w:val="center"/>
          </w:tcPr>
          <w:p>
            <w:pPr>
              <w:pStyle w:val="TableContents"/>
              <w:bidi w:val="0"/>
              <w:spacing w:before="0" w:after="283"/>
              <w:jc w:val="left"/>
              <w:rPr>
                <w:sz w:val="4"/>
                <w:szCs w:val="4"/>
              </w:rPr>
            </w:pPr>
            <w:r>
              <w:rPr>
                <w:sz w:val="4"/>
                <w:szCs w:val="4"/>
              </w:rPr>
            </w:r>
          </w:p>
        </w:tc>
        <w:tc>
          <w:tcPr>
            <w:tcW w:w="2144"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c>
          <w:tcPr>
            <w:tcW w:w="2041" w:type="dxa"/>
            <w:gridSpan w:val="2"/>
            <w:tcBorders/>
            <w:vAlign w:val="center"/>
          </w:tcPr>
          <w:p>
            <w:pPr>
              <w:pStyle w:val="TableContents"/>
              <w:bidi w:val="0"/>
              <w:spacing w:before="0" w:after="283"/>
              <w:jc w:val="left"/>
              <w:rPr>
                <w:sz w:val="4"/>
                <w:szCs w:val="4"/>
              </w:rPr>
            </w:pPr>
            <w:r>
              <w:rPr>
                <w:sz w:val="4"/>
                <w:szCs w:val="4"/>
              </w:rPr>
            </w:r>
          </w:p>
        </w:tc>
      </w:tr>
      <w:tr>
        <w:trPr/>
        <w:tc>
          <w:tcPr>
            <w:tcW w:w="1837"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39"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3"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2042" w:type="dxa"/>
            <w:tcBorders/>
            <w:vAlign w:val="bottom"/>
          </w:tcPr>
          <w:p>
            <w:pPr>
              <w:pStyle w:val="TableContents"/>
              <w:pBdr>
                <w:bottom w:val="single" w:sz="8" w:space="1" w:color="000000"/>
              </w:pBdr>
              <w:bidi w:val="0"/>
              <w:spacing w:before="0" w:after="0"/>
              <w:jc w:val="left"/>
              <w:rPr/>
            </w:pPr>
            <w:r>
              <w:rPr/>
              <w:t> </w:t>
            </w:r>
          </w:p>
        </w:tc>
        <w:tc>
          <w:tcPr>
            <w:tcW w:w="101" w:type="dxa"/>
            <w:tcBorders/>
            <w:vAlign w:val="bottom"/>
          </w:tcPr>
          <w:p>
            <w:pPr>
              <w:pStyle w:val="TableContents"/>
              <w:bidi w:val="0"/>
              <w:spacing w:before="0" w:after="283"/>
              <w:jc w:val="left"/>
              <w:rPr/>
            </w:pPr>
            <w:r>
              <w:rPr/>
              <w:t> </w:t>
            </w:r>
          </w:p>
        </w:tc>
        <w:tc>
          <w:tcPr>
            <w:tcW w:w="1940" w:type="dxa"/>
            <w:tcBorders/>
            <w:vAlign w:val="bottom"/>
          </w:tcPr>
          <w:p>
            <w:pPr>
              <w:pStyle w:val="TableContents"/>
              <w:pBdr>
                <w:bottom w:val="single" w:sz="8" w:space="1" w:color="000000"/>
              </w:pBdr>
              <w:bidi w:val="0"/>
              <w:spacing w:before="0" w:after="0"/>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 if a global note.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1 </w:t>
      </w:r>
    </w:p>
    <w:p>
      <w:pPr>
        <w:pStyle w:val="TextBody"/>
        <w:bidi w:val="0"/>
        <w:spacing w:before="240" w:after="0"/>
        <w:jc w:val="center"/>
        <w:rPr>
          <w:rFonts w:ascii="Times New Roman" w:hAnsi="Times New Roman"/>
          <w:sz w:val="20"/>
        </w:rPr>
      </w:pPr>
      <w:r>
        <w:rPr>
          <w:rFonts w:ascii="Times New Roman" w:hAnsi="Times New Roman"/>
          <w:sz w:val="20"/>
        </w:rPr>
        <w:t xml:space="preserve">[FORM OF NOTICE OF CONVERSION] </w:t>
      </w:r>
    </w:p>
    <w:p>
      <w:pPr>
        <w:pStyle w:val="TextBody"/>
        <w:bidi w:val="0"/>
        <w:spacing w:before="12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0" w:after="0"/>
        <w:jc w:val="center"/>
        <w:rPr>
          <w:rFonts w:ascii="Times New Roman" w:hAnsi="Times New Roman"/>
          <w:sz w:val="20"/>
        </w:rPr>
      </w:pPr>
      <w:r>
        <w:rPr>
          <w:rFonts w:ascii="Times New Roman" w:hAnsi="Times New Roman"/>
          <w:sz w:val="20"/>
        </w:rPr>
        <w:t xml:space="preserve">0.00% Convertible Senior Notes due 2031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Trust Company,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15333 Thornall St, </w:t>
      </w:r>
    </w:p>
    <w:p>
      <w:pPr>
        <w:pStyle w:val="TextBody"/>
        <w:bidi w:val="0"/>
        <w:spacing w:before="0" w:after="0"/>
        <w:jc w:val="left"/>
        <w:rPr>
          <w:rFonts w:ascii="Times New Roman" w:hAnsi="Times New Roman"/>
          <w:sz w:val="20"/>
        </w:rPr>
      </w:pPr>
      <w:r>
        <w:rPr>
          <w:rFonts w:ascii="Times New Roman" w:hAnsi="Times New Roman"/>
          <w:sz w:val="20"/>
        </w:rPr>
        <w:t xml:space="preserve">Edison, NJ 08837, </w:t>
      </w:r>
    </w:p>
    <w:p>
      <w:pPr>
        <w:pStyle w:val="TextBody"/>
        <w:bidi w:val="0"/>
        <w:spacing w:before="0" w:after="0"/>
        <w:jc w:val="left"/>
        <w:rPr>
          <w:rFonts w:ascii="Times New Roman" w:hAnsi="Times New Roman"/>
          <w:sz w:val="20"/>
        </w:rPr>
      </w:pPr>
      <w:r>
        <w:rPr>
          <w:rFonts w:ascii="Times New Roman" w:hAnsi="Times New Roman"/>
          <w:sz w:val="20"/>
        </w:rPr>
        <w:t xml:space="preserve">Attention: A. Casper (Silicon Motion Technology Corporation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registered owner of this Note hereby exercises the option to convert this Note, or the portion hereof (that is $1,000 principal amount or an integral multiple thereof) below designated, into cash and ADSs, if any, in accordance with the terms of the Indenture referred to in this Note, and directs that any cash payable and any ADSs issuable and deliverable upon such conversion, together with any cash for any fractional ADSs, and any Notes representing any unconverted principal amount hereof, be issued and delivered to the registered Holder hereof unless a different name has been indicated below. If any ADSs or any portion of this Note not converted are to be issued in the name of a Person other than the undersigned, the undersigned will pay all documentary, stamp or similar issue or transfer taxes, if any in accordance with Section 14.02(d) and Section 14.02(e) of the Indenture. Any amount required to be paid to the undersigned on account of any Special Interest accompanies this Note. Capitalized terms used herein but not defined shall have the meanings ascribed to such terms in the Indenture.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22"/>
        <w:gridCol w:w="120"/>
        <w:gridCol w:w="3206"/>
        <w:gridCol w:w="120"/>
        <w:gridCol w:w="2837"/>
      </w:tblGrid>
      <w:tr>
        <w:trPr/>
        <w:tc>
          <w:tcPr>
            <w:tcW w:w="392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r>
      <w:tr>
        <w:trPr/>
        <w:tc>
          <w:tcPr>
            <w:tcW w:w="392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83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922" w:type="dxa"/>
            <w:tcBorders/>
            <w:vAlign w:val="center"/>
          </w:tcPr>
          <w:p>
            <w:pPr>
              <w:pStyle w:val="TableContents"/>
              <w:bidi w:val="0"/>
              <w:spacing w:before="0" w:after="283"/>
              <w:jc w:val="left"/>
              <w:rPr>
                <w:sz w:val="4"/>
                <w:szCs w:val="4"/>
              </w:rPr>
            </w:pPr>
            <w:r>
              <w:rPr>
                <w:sz w:val="4"/>
                <w:szCs w:val="4"/>
              </w:rPr>
            </w:r>
          </w:p>
        </w:tc>
        <w:tc>
          <w:tcPr>
            <w:tcW w:w="3326" w:type="dxa"/>
            <w:gridSpan w:val="2"/>
            <w:tcBorders/>
            <w:vAlign w:val="center"/>
          </w:tcPr>
          <w:p>
            <w:pPr>
              <w:pStyle w:val="TableContents"/>
              <w:bidi w:val="0"/>
              <w:spacing w:before="0" w:after="283"/>
              <w:jc w:val="left"/>
              <w:rPr>
                <w:sz w:val="4"/>
                <w:szCs w:val="4"/>
              </w:rPr>
            </w:pPr>
            <w:r>
              <w:rPr>
                <w:sz w:val="4"/>
                <w:szCs w:val="4"/>
              </w:rPr>
            </w:r>
          </w:p>
        </w:tc>
        <w:tc>
          <w:tcPr>
            <w:tcW w:w="2957" w:type="dxa"/>
            <w:gridSpan w:val="2"/>
            <w:tcBorders/>
            <w:vAlign w:val="center"/>
          </w:tcPr>
          <w:p>
            <w:pPr>
              <w:pStyle w:val="TableContents"/>
              <w:bidi w:val="0"/>
              <w:spacing w:before="0" w:after="283"/>
              <w:jc w:val="left"/>
              <w:rPr>
                <w:sz w:val="4"/>
                <w:szCs w:val="4"/>
              </w:rPr>
            </w:pPr>
            <w:r>
              <w:rPr>
                <w:sz w:val="4"/>
                <w:szCs w:val="4"/>
              </w:rPr>
            </w:r>
          </w:p>
        </w:tc>
      </w:tr>
      <w:tr>
        <w:trPr/>
        <w:tc>
          <w:tcPr>
            <w:tcW w:w="3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pBdr>
                <w:bottom w:val="single" w:sz="2" w:space="1" w:color="000000"/>
              </w:pBdr>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2837" w:type="dxa"/>
            <w:tcBorders/>
            <w:vAlign w:val="bottom"/>
          </w:tcPr>
          <w:p>
            <w:pPr>
              <w:pStyle w:val="TableContents"/>
              <w:bidi w:val="0"/>
              <w:spacing w:before="0" w:after="283"/>
              <w:jc w:val="left"/>
              <w:rPr>
                <w:sz w:val="4"/>
                <w:szCs w:val="4"/>
              </w:rPr>
            </w:pPr>
            <w:r>
              <w:rPr>
                <w:sz w:val="4"/>
                <w:szCs w:val="4"/>
              </w:rPr>
            </w:r>
          </w:p>
        </w:tc>
      </w:tr>
      <w:tr>
        <w:trPr/>
        <w:tc>
          <w:tcPr>
            <w:tcW w:w="3922"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206" w:type="dxa"/>
            <w:tcBorders/>
            <w:vAlign w:val="bottom"/>
          </w:tcPr>
          <w:p>
            <w:pPr>
              <w:pStyle w:val="TableContents"/>
              <w:bidi w:val="0"/>
              <w:spacing w:before="0" w:after="283"/>
              <w:jc w:val="left"/>
              <w:rPr/>
            </w:pPr>
            <w:r>
              <w:rPr/>
              <w:t>Signature(s)</w:t>
            </w:r>
          </w:p>
        </w:tc>
        <w:tc>
          <w:tcPr>
            <w:tcW w:w="120" w:type="dxa"/>
            <w:tcBorders/>
            <w:vAlign w:val="bottom"/>
          </w:tcPr>
          <w:p>
            <w:pPr>
              <w:pStyle w:val="TableContents"/>
              <w:bidi w:val="0"/>
              <w:spacing w:before="0" w:after="283"/>
              <w:jc w:val="left"/>
              <w:rPr/>
            </w:pPr>
            <w:r>
              <w:rPr/>
              <w:t>  </w:t>
            </w:r>
          </w:p>
        </w:tc>
        <w:tc>
          <w:tcPr>
            <w:tcW w:w="2837" w:type="dxa"/>
            <w:tcBorders/>
            <w:vAlign w:val="bottom"/>
          </w:tcPr>
          <w:p>
            <w:pPr>
              <w:pStyle w:val="TableContents"/>
              <w:bidi w:val="0"/>
              <w:spacing w:before="0" w:after="283"/>
              <w:jc w:val="left"/>
              <w:rPr>
                <w:sz w:val="4"/>
                <w:szCs w:val="4"/>
              </w:rPr>
            </w:pPr>
            <w:r>
              <w:rPr>
                <w:sz w:val="4"/>
                <w:szCs w:val="4"/>
              </w:rPr>
            </w:r>
          </w:p>
        </w:tc>
      </w:tr>
    </w:tbl>
    <w:tbl>
      <w:tblPr>
        <w:tblW w:w="1500" w:type="pct"/>
        <w:jc w:val="left"/>
        <w:tblInd w:w="0" w:type="dxa"/>
        <w:tblLayout w:type="fixed"/>
        <w:tblCellMar>
          <w:top w:w="0" w:type="dxa"/>
          <w:left w:w="0" w:type="dxa"/>
          <w:bottom w:w="0" w:type="dxa"/>
          <w:right w:w="0" w:type="dxa"/>
        </w:tblCellMar>
      </w:tblPr>
      <w:tblGrid>
        <w:gridCol w:w="3061"/>
      </w:tblGrid>
      <w:tr>
        <w:trPr/>
        <w:tc>
          <w:tcPr>
            <w:tcW w:w="3061"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pBdr>
                <w:bottom w:val="single" w:sz="2" w:space="1" w:color="000000"/>
              </w:pBdr>
              <w:bidi w:val="0"/>
              <w:spacing w:before="0" w:after="20"/>
              <w:jc w:val="left"/>
              <w:rPr/>
            </w:pPr>
            <w:r>
              <w:rPr/>
              <w:t> </w:t>
            </w:r>
          </w:p>
        </w:tc>
      </w:tr>
      <w:tr>
        <w:trPr/>
        <w:tc>
          <w:tcPr>
            <w:tcW w:w="3061" w:type="dxa"/>
            <w:tcBorders/>
          </w:tcPr>
          <w:p>
            <w:pPr>
              <w:pStyle w:val="TableContents"/>
              <w:bidi w:val="0"/>
              <w:spacing w:before="0" w:after="0"/>
              <w:jc w:val="left"/>
              <w:rPr>
                <w:rFonts w:ascii="Times New Roman" w:hAnsi="Times New Roman"/>
                <w:sz w:val="20"/>
              </w:rPr>
            </w:pPr>
            <w:r>
              <w:rPr>
                <w:rFonts w:ascii="Times New Roman" w:hAnsi="Times New Roman"/>
                <w:sz w:val="20"/>
              </w:rPr>
              <w:t>Signature Guarantee</w:t>
            </w:r>
          </w:p>
        </w:tc>
      </w:tr>
      <w:tr>
        <w:trPr>
          <w:trHeight w:val="240" w:hRule="atLeast"/>
        </w:trPr>
        <w:tc>
          <w:tcPr>
            <w:tcW w:w="3061" w:type="dxa"/>
            <w:tcBorders/>
            <w:vAlign w:val="center"/>
          </w:tcPr>
          <w:p>
            <w:pPr>
              <w:pStyle w:val="TableContents"/>
              <w:bidi w:val="0"/>
              <w:spacing w:before="0" w:after="283"/>
              <w:jc w:val="left"/>
              <w:rPr>
                <w:sz w:val="4"/>
                <w:szCs w:val="4"/>
              </w:rPr>
            </w:pPr>
            <w:r>
              <w:rPr>
                <w:sz w:val="4"/>
                <w:szCs w:val="4"/>
              </w:rPr>
            </w:r>
          </w:p>
        </w:tc>
      </w:tr>
      <w:tr>
        <w:trPr/>
        <w:tc>
          <w:tcPr>
            <w:tcW w:w="3061" w:type="dxa"/>
            <w:tcBorders/>
          </w:tcPr>
          <w:p>
            <w:pPr>
              <w:pStyle w:val="TableContents"/>
              <w:bidi w:val="0"/>
              <w:spacing w:before="0" w:after="283"/>
              <w:jc w:val="left"/>
              <w:rPr/>
            </w:pPr>
            <w:r>
              <w:rPr/>
              <w:t>Signature(s) must be guaranteed by an eligible Guarantor Institution (banks, stock brokers, savings and loan associations and credit unions) with membership in an approved signature guarantee medallion program pursuant to Securities and Exchange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Commission Rule 17Ad-15 if ADSs are to be issued, or</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Notes are to be delivered, other than</w:t>
            </w:r>
          </w:p>
          <w:p>
            <w:pPr>
              <w:pStyle w:val="TableContents"/>
              <w:bidi w:val="0"/>
              <w:spacing w:before="0" w:after="20"/>
              <w:jc w:val="left"/>
              <w:rPr>
                <w:rFonts w:ascii="Times New Roman" w:hAnsi="Times New Roman"/>
                <w:sz w:val="20"/>
              </w:rPr>
            </w:pPr>
            <w:r>
              <w:rPr>
                <w:rFonts w:ascii="Times New Roman" w:hAnsi="Times New Roman"/>
                <w:sz w:val="20"/>
              </w:rPr>
              <w:t>to and in the name of the registered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Fill in for registration of shares if to be issued, and Notes if to be delivered, other than to and in the name of the registered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(Street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(City, State and Zip Code)</w:t>
            </w:r>
          </w:p>
        </w:tc>
      </w:tr>
      <w:tr>
        <w:trPr/>
        <w:tc>
          <w:tcPr>
            <w:tcW w:w="4082" w:type="dxa"/>
            <w:tcBorders/>
          </w:tcPr>
          <w:p>
            <w:pPr>
              <w:pStyle w:val="TableContents"/>
              <w:bidi w:val="0"/>
              <w:spacing w:before="0" w:after="283"/>
              <w:jc w:val="left"/>
              <w:rPr/>
            </w:pPr>
            <w:r>
              <w:rPr/>
              <w:t>Please print name and address</w:t>
            </w:r>
          </w:p>
        </w:tc>
      </w:tr>
    </w:tbl>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Principal amount to be converted (if less than all): $______,000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whatever.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Social Security or Other Taxpayer Identification Number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2 </w:t>
      </w:r>
    </w:p>
    <w:p>
      <w:pPr>
        <w:pStyle w:val="TextBody"/>
        <w:bidi w:val="0"/>
        <w:spacing w:before="240" w:after="0"/>
        <w:jc w:val="center"/>
        <w:rPr>
          <w:rFonts w:ascii="Times New Roman" w:hAnsi="Times New Roman"/>
          <w:sz w:val="20"/>
        </w:rPr>
      </w:pPr>
      <w:r>
        <w:rPr>
          <w:rFonts w:ascii="Times New Roman" w:hAnsi="Times New Roman"/>
          <w:sz w:val="20"/>
        </w:rPr>
        <w:t xml:space="preserve">[FORM OF FUNDAMENTAL CHANGE REPURCHASE NOTICE] </w:t>
      </w:r>
    </w:p>
    <w:p>
      <w:pPr>
        <w:pStyle w:val="TextBody"/>
        <w:bidi w:val="0"/>
        <w:spacing w:before="12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0" w:after="0"/>
        <w:jc w:val="center"/>
        <w:rPr>
          <w:rFonts w:ascii="Times New Roman" w:hAnsi="Times New Roman"/>
          <w:sz w:val="20"/>
        </w:rPr>
      </w:pPr>
      <w:r>
        <w:rPr>
          <w:rFonts w:ascii="Times New Roman" w:hAnsi="Times New Roman"/>
          <w:sz w:val="20"/>
        </w:rPr>
        <w:t xml:space="preserve">0.00% Convertible Senior Notes due 2031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Trust Company,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15333 Thornall St, </w:t>
      </w:r>
    </w:p>
    <w:p>
      <w:pPr>
        <w:pStyle w:val="TextBody"/>
        <w:bidi w:val="0"/>
        <w:spacing w:before="0" w:after="0"/>
        <w:jc w:val="left"/>
        <w:rPr>
          <w:rFonts w:ascii="Times New Roman" w:hAnsi="Times New Roman"/>
          <w:sz w:val="20"/>
        </w:rPr>
      </w:pPr>
      <w:r>
        <w:rPr>
          <w:rFonts w:ascii="Times New Roman" w:hAnsi="Times New Roman"/>
          <w:sz w:val="20"/>
        </w:rPr>
        <w:t xml:space="preserve">Edison, NJ 08837, </w:t>
      </w:r>
    </w:p>
    <w:p>
      <w:pPr>
        <w:pStyle w:val="TextBody"/>
        <w:bidi w:val="0"/>
        <w:spacing w:before="0" w:after="0"/>
        <w:jc w:val="left"/>
        <w:rPr>
          <w:rFonts w:ascii="Times New Roman" w:hAnsi="Times New Roman"/>
          <w:sz w:val="20"/>
        </w:rPr>
      </w:pPr>
      <w:r>
        <w:rPr>
          <w:rFonts w:ascii="Times New Roman" w:hAnsi="Times New Roman"/>
          <w:sz w:val="20"/>
        </w:rPr>
        <w:t xml:space="preserve">Attention: A. Casper (Silicon Motion Technology Corporation Administrator) </w:t>
      </w:r>
    </w:p>
    <w:p>
      <w:pPr>
        <w:pStyle w:val="TextBody"/>
        <w:bidi w:val="0"/>
        <w:spacing w:before="240" w:after="0"/>
        <w:jc w:val="left"/>
        <w:rPr>
          <w:rFonts w:ascii="Times New Roman" w:hAnsi="Times New Roman"/>
          <w:sz w:val="20"/>
        </w:rPr>
      </w:pPr>
      <w:r>
        <w:rPr>
          <w:rFonts w:ascii="Times New Roman" w:hAnsi="Times New Roman"/>
          <w:sz w:val="20"/>
        </w:rPr>
        <w:t>The undersigned registered owner of this Note hereby acknowledges receipt of a notice from Silicon Motion Technology Corporation (the “</w:t>
      </w:r>
      <w:r>
        <w:rPr>
          <w:rFonts w:ascii="Times New Roman" w:hAnsi="Times New Roman"/>
          <w:b/>
          <w:sz w:val="20"/>
        </w:rPr>
        <w:t>Company</w:t>
      </w:r>
      <w:r>
        <w:rPr>
          <w:rFonts w:ascii="Times New Roman" w:hAnsi="Times New Roman"/>
          <w:sz w:val="20"/>
        </w:rPr>
        <w:t xml:space="preserve">”) as to the occurrence of a Fundamental Change with respect to the Company and specifying the Fundamental Change Repurchase Date and requests and instructs the Company to pay to the registered holder hereof in accordance with Section 15.02 of the Indenture referred to in this Note (1) the entire principal amount of this Note, or the portion thereof (that is $1,000 principal amount or an integral multiple thereof) below designated, and (2) if such Fundamental Change Repurchase Date does not fall during the period after a Special Interest Record Date and on or prior to the corresponding Special Interest Payment Date, accrued and unpaid Special Interest, if any, thereon to, but excluding, such Fundamental Change Repurchase Date. Capitalized terms used herein but not defined shall have the meanings ascribed to such terms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Physical Notes, the certificate numbers of the Notes to be repurchased are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Social Security or Other Taxpayer Identification Number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Principal amount to be repaid (if less than all): $______,000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whatever.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3 </w:t>
      </w:r>
    </w:p>
    <w:p>
      <w:pPr>
        <w:pStyle w:val="TextBody"/>
        <w:bidi w:val="0"/>
        <w:spacing w:before="240" w:after="0"/>
        <w:jc w:val="center"/>
        <w:rPr>
          <w:rFonts w:ascii="Times New Roman" w:hAnsi="Times New Roman"/>
          <w:sz w:val="20"/>
        </w:rPr>
      </w:pPr>
      <w:r>
        <w:rPr>
          <w:rFonts w:ascii="Times New Roman" w:hAnsi="Times New Roman"/>
          <w:sz w:val="20"/>
        </w:rPr>
        <w:t xml:space="preserve">[FORM OF OPTIONAL REPURCHASE NOTICE]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Trust Company,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15333 Thornall St, </w:t>
      </w:r>
    </w:p>
    <w:p>
      <w:pPr>
        <w:pStyle w:val="TextBody"/>
        <w:bidi w:val="0"/>
        <w:spacing w:before="0" w:after="0"/>
        <w:jc w:val="left"/>
        <w:rPr>
          <w:rFonts w:ascii="Times New Roman" w:hAnsi="Times New Roman"/>
          <w:sz w:val="20"/>
        </w:rPr>
      </w:pPr>
      <w:r>
        <w:rPr>
          <w:rFonts w:ascii="Times New Roman" w:hAnsi="Times New Roman"/>
          <w:sz w:val="20"/>
        </w:rPr>
        <w:t xml:space="preserve">Edison, NJ 08837, </w:t>
      </w:r>
    </w:p>
    <w:p>
      <w:pPr>
        <w:pStyle w:val="TextBody"/>
        <w:bidi w:val="0"/>
        <w:spacing w:before="0" w:after="0"/>
        <w:jc w:val="left"/>
        <w:rPr>
          <w:rFonts w:ascii="Times New Roman" w:hAnsi="Times New Roman"/>
          <w:sz w:val="20"/>
        </w:rPr>
      </w:pPr>
      <w:r>
        <w:rPr>
          <w:rFonts w:ascii="Times New Roman" w:hAnsi="Times New Roman"/>
          <w:sz w:val="20"/>
        </w:rPr>
        <w:t xml:space="preserve">Attention: A. Casper (Silicon Motion Technology Corporation Administrator) </w:t>
      </w:r>
    </w:p>
    <w:p>
      <w:pPr>
        <w:pStyle w:val="TextBody"/>
        <w:bidi w:val="0"/>
        <w:spacing w:before="240" w:after="0"/>
        <w:jc w:val="left"/>
        <w:rPr>
          <w:rFonts w:ascii="Times New Roman" w:hAnsi="Times New Roman"/>
          <w:sz w:val="20"/>
        </w:rPr>
      </w:pPr>
      <w:r>
        <w:rPr>
          <w:rFonts w:ascii="Times New Roman" w:hAnsi="Times New Roman"/>
          <w:sz w:val="20"/>
        </w:rPr>
        <w:t>The undersigned registered owner of this Note hereby acknowledges receipt of a notice from Silicon Motion Technology Corporation (the “</w:t>
      </w:r>
      <w:r>
        <w:rPr>
          <w:rFonts w:ascii="Times New Roman" w:hAnsi="Times New Roman"/>
          <w:b/>
          <w:sz w:val="20"/>
        </w:rPr>
        <w:t>Company</w:t>
      </w:r>
      <w:r>
        <w:rPr>
          <w:rFonts w:ascii="Times New Roman" w:hAnsi="Times New Roman"/>
          <w:sz w:val="20"/>
        </w:rPr>
        <w:t xml:space="preserve">”) regarding the right of Holders to elect to require the Company to repurchase their Notes on the Optional Repurchase Date and requests and instructs the Company to repurchase the entire principal amount of this Note, or the portion thereof (that is $1,000 principal amount or an integral multiple thereof) below designated, in accordance with Section 15.01 of the Indenture referred to in this Note, at the Optional Repurchase Price from the registered holder hereof.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Physical Notes, the certificate numbers of the Notes to be repurchased are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Dated: _____________________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Social Security or Other Taxpayer Identification Number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Principal amount to be repurchased (if less than all): $______,000</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NOTICE: The above signature(s) of the Holder(s) hereof must correspond with the name as written upon the face of the Note in every particular without alteration or enlargement or any change whatsoever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4 </w:t>
      </w:r>
    </w:p>
    <w:p>
      <w:pPr>
        <w:pStyle w:val="TextBody"/>
        <w:bidi w:val="0"/>
        <w:spacing w:before="240" w:after="0"/>
        <w:jc w:val="center"/>
        <w:rPr>
          <w:rFonts w:ascii="Times New Roman" w:hAnsi="Times New Roman"/>
          <w:sz w:val="20"/>
        </w:rPr>
      </w:pPr>
      <w:r>
        <w:rPr>
          <w:rFonts w:ascii="Times New Roman" w:hAnsi="Times New Roman"/>
          <w:sz w:val="20"/>
        </w:rPr>
        <w:t xml:space="preserve">[FORM OF ASSIGNMENT AND TRANSFER] </w:t>
      </w:r>
    </w:p>
    <w:p>
      <w:pPr>
        <w:pStyle w:val="TextBody"/>
        <w:bidi w:val="0"/>
        <w:spacing w:before="240" w:after="0"/>
        <w:jc w:val="left"/>
        <w:rPr>
          <w:rFonts w:ascii="Times New Roman" w:hAnsi="Times New Roman"/>
          <w:sz w:val="20"/>
        </w:rPr>
      </w:pPr>
      <w:r>
        <w:rPr>
          <w:rFonts w:ascii="Times New Roman" w:hAnsi="Times New Roman"/>
          <w:sz w:val="20"/>
        </w:rPr>
        <w:t xml:space="preserve">For value received ____________________________ hereby sell(s), assign(s) and transfer(s) unto _________________ (Please insert social security or Taxpayer Identification Number of assignee) the within Note, and hereby irrevocably constitutes and appoints _____________________ attorney to transfer the said Note on the books of the Company, with full power of substitution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transfer of the within Note occurring prior to the Resale Restriction Termination Date, as defined in the Indenture governing such Note, the undersigned confirms that such Note is being transferred: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Silicon Motion Technology Corporation, or a subsidiary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 registration statement that has become or been declared effective under the Securities Act of 1933, as amended;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and in compliance with Rule 144A under the Securities Act of 1933, as amended;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and in compliance with Rule 144 under the Securities Act of 1933, as amended, or any other available exemption from the registration requirements of the Securities Act of 1933, as amended.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________________________</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Signature Guarantee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Signature(s) must be guaranteed by an eligible Guarantor Institution (banks, stock brokers, savings and loan associations and credit unions) with membership in an approved signature guarantee medallion program pursuant to Securities and Exchange Commission Rule 17Ad-15 if Notes are to be delivered, other than to and in the name of the registered holder.</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NOTICE: The signature on the assignment must correspond with the name as written upon the face of the Note in every particular without alteration or enlargement or any change whatever.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ATTACHMENT 5 </w:t>
      </w:r>
    </w:p>
    <w:p>
      <w:pPr>
        <w:pStyle w:val="TextBody"/>
        <w:bidi w:val="0"/>
        <w:spacing w:before="240" w:after="0"/>
        <w:jc w:val="center"/>
        <w:rPr>
          <w:rFonts w:ascii="Times New Roman" w:hAnsi="Times New Roman"/>
          <w:sz w:val="20"/>
        </w:rPr>
      </w:pPr>
      <w:r>
        <w:rPr>
          <w:rFonts w:ascii="Times New Roman" w:hAnsi="Times New Roman"/>
          <w:sz w:val="20"/>
        </w:rPr>
        <w:t xml:space="preserve">[FORM OF NOTICE OF TAX REDEMPTION ELECTION] </w:t>
      </w:r>
    </w:p>
    <w:p>
      <w:pPr>
        <w:pStyle w:val="TextBody"/>
        <w:bidi w:val="0"/>
        <w:spacing w:before="120" w:after="0"/>
        <w:jc w:val="center"/>
        <w:rPr>
          <w:rFonts w:ascii="Times New Roman" w:hAnsi="Times New Roman"/>
          <w:sz w:val="20"/>
        </w:rPr>
      </w:pPr>
      <w:r>
        <w:rPr>
          <w:rFonts w:ascii="Times New Roman" w:hAnsi="Times New Roman"/>
          <w:sz w:val="20"/>
        </w:rPr>
        <w:t xml:space="preserve">Silicon Motion Technology Corporation </w:t>
      </w:r>
    </w:p>
    <w:p>
      <w:pPr>
        <w:pStyle w:val="TextBody"/>
        <w:bidi w:val="0"/>
        <w:spacing w:before="60" w:after="0"/>
        <w:jc w:val="center"/>
        <w:rPr>
          <w:rFonts w:ascii="Times New Roman" w:hAnsi="Times New Roman"/>
          <w:sz w:val="20"/>
        </w:rPr>
      </w:pPr>
      <w:r>
        <w:rPr>
          <w:rFonts w:ascii="Times New Roman" w:hAnsi="Times New Roman"/>
          <w:sz w:val="20"/>
        </w:rPr>
        <w:t xml:space="preserve">0.00% Convertible Senior Notes due 2031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To:</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Bank Trust Company, National Association </w:t>
            </w:r>
          </w:p>
        </w:tc>
      </w:tr>
    </w:tbl>
    <w:p>
      <w:pPr>
        <w:pStyle w:val="TextBody"/>
        <w:bidi w:val="0"/>
        <w:spacing w:before="0" w:after="0"/>
        <w:jc w:val="left"/>
        <w:rPr>
          <w:rFonts w:ascii="Times New Roman" w:hAnsi="Times New Roman"/>
          <w:sz w:val="20"/>
        </w:rPr>
      </w:pPr>
      <w:r>
        <w:rPr>
          <w:rFonts w:ascii="Times New Roman" w:hAnsi="Times New Roman"/>
          <w:sz w:val="20"/>
        </w:rPr>
        <w:t xml:space="preserve">15333 Thornall St, </w:t>
      </w:r>
    </w:p>
    <w:p>
      <w:pPr>
        <w:pStyle w:val="TextBody"/>
        <w:bidi w:val="0"/>
        <w:spacing w:before="0" w:after="0"/>
        <w:jc w:val="left"/>
        <w:rPr>
          <w:rFonts w:ascii="Times New Roman" w:hAnsi="Times New Roman"/>
          <w:sz w:val="20"/>
        </w:rPr>
      </w:pPr>
      <w:r>
        <w:rPr>
          <w:rFonts w:ascii="Times New Roman" w:hAnsi="Times New Roman"/>
          <w:sz w:val="20"/>
        </w:rPr>
        <w:t xml:space="preserve">Edison, NJ 08837, </w:t>
      </w:r>
    </w:p>
    <w:p>
      <w:pPr>
        <w:pStyle w:val="TextBody"/>
        <w:bidi w:val="0"/>
        <w:spacing w:before="0" w:after="0"/>
        <w:jc w:val="left"/>
        <w:rPr>
          <w:rFonts w:ascii="Times New Roman" w:hAnsi="Times New Roman"/>
          <w:sz w:val="20"/>
        </w:rPr>
      </w:pPr>
      <w:r>
        <w:rPr>
          <w:rFonts w:ascii="Times New Roman" w:hAnsi="Times New Roman"/>
          <w:sz w:val="20"/>
        </w:rPr>
        <w:t xml:space="preserve">Attention: A. Casper (Silicon Motion Technology Corporation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registered owner of this Note hereby elects to not have this Note, or the portion hereof (that is $1,000 principal amount or an integral multiple of $1,000 in excess thereof) below designated, be subject to a Tax Redemption, and any Notes representing any principal amount hereof not subject to such Tax Redemption, be issued and delivered to the registered Holder hereof unless a different name has been indicated below. If any portion of this Note not subject to such Tax Redemption is to be issued in the name of a Person other than the undersigned, the undersigned will pay all transfer taxes payable with respect thereto.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797"/>
        <w:gridCol w:w="101"/>
        <w:gridCol w:w="408"/>
        <w:gridCol w:w="101"/>
        <w:gridCol w:w="4798"/>
      </w:tblGrid>
      <w:tr>
        <w:trPr/>
        <w:tc>
          <w:tcPr>
            <w:tcW w:w="479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pPr>
            <w:r>
              <w:rPr/>
              <w:t xml:space="preserve">Dated: </w:t>
            </w:r>
            <w:r>
              <w:rPr>
                <w:u w:val="single"/>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pBdr>
                <w:bottom w:val="single" w:sz="2" w:space="1" w:color="000000"/>
              </w:pBdr>
              <w:bidi w:val="0"/>
              <w:spacing w:before="0" w:after="20"/>
              <w:jc w:val="left"/>
              <w:rPr/>
            </w:pPr>
            <w:r>
              <w:rPr/>
              <w:t> </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pBdr>
                <w:bottom w:val="single" w:sz="2" w:space="1" w:color="000000"/>
              </w:pBdr>
              <w:bidi w:val="0"/>
              <w:spacing w:before="0" w:after="20"/>
              <w:jc w:val="left"/>
              <w:rPr/>
            </w:pPr>
            <w:r>
              <w:rPr/>
              <w:t> </w:t>
            </w:r>
          </w:p>
        </w:tc>
      </w:tr>
      <w:tr>
        <w:trPr/>
        <w:tc>
          <w:tcPr>
            <w:tcW w:w="4797"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pPr>
            <w:r>
              <w:rPr/>
              <w:t>Signature(s)</w:t>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pBdr>
                <w:bottom w:val="single" w:sz="2" w:space="1" w:color="000000"/>
              </w:pBdr>
              <w:bidi w:val="0"/>
              <w:spacing w:before="0" w:after="20"/>
              <w:jc w:val="left"/>
              <w:rPr/>
            </w:pPr>
            <w:r>
              <w:rPr/>
              <w:t> </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Signature Guarantee</w:t>
            </w:r>
          </w:p>
        </w:tc>
        <w:tc>
          <w:tcPr>
            <w:tcW w:w="101" w:type="dxa"/>
            <w:tcBorders/>
            <w:vAlign w:val="bottom"/>
          </w:tcPr>
          <w:p>
            <w:pPr>
              <w:pStyle w:val="TableContents"/>
              <w:bidi w:val="0"/>
              <w:spacing w:before="0" w:after="283"/>
              <w:jc w:val="left"/>
              <w:rPr/>
            </w:pPr>
            <w:r>
              <w:rPr/>
              <w:t> </w:t>
            </w:r>
          </w:p>
        </w:tc>
        <w:tc>
          <w:tcPr>
            <w:tcW w:w="408"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4797" w:type="dxa"/>
            <w:tcBorders/>
            <w:vAlign w:val="center"/>
          </w:tcPr>
          <w:p>
            <w:pPr>
              <w:pStyle w:val="TableContents"/>
              <w:bidi w:val="0"/>
              <w:spacing w:before="0" w:after="283"/>
              <w:jc w:val="left"/>
              <w:rPr>
                <w:sz w:val="4"/>
                <w:szCs w:val="4"/>
              </w:rPr>
            </w:pPr>
            <w:r>
              <w:rPr>
                <w:sz w:val="4"/>
                <w:szCs w:val="4"/>
              </w:rPr>
            </w:r>
          </w:p>
        </w:tc>
        <w:tc>
          <w:tcPr>
            <w:tcW w:w="509" w:type="dxa"/>
            <w:gridSpan w:val="2"/>
            <w:tcBorders/>
            <w:vAlign w:val="center"/>
          </w:tcPr>
          <w:p>
            <w:pPr>
              <w:pStyle w:val="TableContents"/>
              <w:bidi w:val="0"/>
              <w:spacing w:before="0" w:after="283"/>
              <w:jc w:val="left"/>
              <w:rPr>
                <w:sz w:val="4"/>
                <w:szCs w:val="4"/>
              </w:rPr>
            </w:pPr>
            <w:r>
              <w:rPr>
                <w:sz w:val="4"/>
                <w:szCs w:val="4"/>
              </w:rPr>
            </w:r>
          </w:p>
        </w:tc>
        <w:tc>
          <w:tcPr>
            <w:tcW w:w="4899" w:type="dxa"/>
            <w:gridSpan w:val="2"/>
            <w:tcBorders/>
            <w:vAlign w:val="center"/>
          </w:tcPr>
          <w:p>
            <w:pPr>
              <w:pStyle w:val="TableContents"/>
              <w:bidi w:val="0"/>
              <w:spacing w:before="0" w:after="283"/>
              <w:jc w:val="left"/>
              <w:rPr>
                <w:sz w:val="4"/>
                <w:szCs w:val="4"/>
              </w:rPr>
            </w:pPr>
            <w:r>
              <w:rPr>
                <w:sz w:val="4"/>
                <w:szCs w:val="4"/>
              </w:rPr>
            </w:r>
          </w:p>
        </w:tc>
      </w:tr>
      <w:tr>
        <w:trPr/>
        <w:tc>
          <w:tcPr>
            <w:tcW w:w="4797" w:type="dxa"/>
            <w:tcBorders/>
            <w:vAlign w:val="bottom"/>
          </w:tcPr>
          <w:p>
            <w:pPr>
              <w:pStyle w:val="TableContents"/>
              <w:bidi w:val="0"/>
              <w:spacing w:before="0" w:after="283"/>
              <w:jc w:val="left"/>
              <w:rPr/>
            </w:pPr>
            <w:r>
              <w:rPr/>
              <w:t>Signature(s) must be guaranteed by an eligible Guarantor Institution (banks, stock brokers, savings and loan associations and credit unions) with membership in an approved signature guarantee medallion program pursuant to Securities and Exchange Commission Rule 17Ad-15 if ADSs are to be issued, or Notes to be delivered, other than to and in the name of the registered holder.</w:t>
            </w:r>
          </w:p>
        </w:tc>
        <w:tc>
          <w:tcPr>
            <w:tcW w:w="101"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Fill in for registration of Notes to be delivered, other than to and in the name of the registered holder: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(Name)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283"/>
              <w:jc w:val="left"/>
              <w:rPr/>
            </w:pPr>
            <w:r>
              <w:rPr/>
              <w:t>(Street Address)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(City, State and Zip Code)</w:t>
            </w:r>
          </w:p>
          <w:p>
            <w:pPr>
              <w:pStyle w:val="TableContents"/>
              <w:bidi w:val="0"/>
              <w:spacing w:before="0" w:after="20"/>
              <w:jc w:val="left"/>
              <w:rPr>
                <w:rFonts w:ascii="Times New Roman" w:hAnsi="Times New Roman"/>
                <w:sz w:val="20"/>
              </w:rPr>
            </w:pPr>
            <w:r>
              <w:rPr>
                <w:rFonts w:ascii="Times New Roman" w:hAnsi="Times New Roman"/>
                <w:sz w:val="20"/>
              </w:rPr>
              <w:t>Please print name and address</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Principal amount not subject to Tax Redemption (if</w:t>
              <w:br/>
              <w:t>less than all):</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    ,000</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NOTICE: The above signature(s) of the holder(s)</w:t>
              <w:br/>
              <w:t>hereof must correspond with the name as written</w:t>
              <w:br/>
              <w:t>upon the face of the Note in every particular without</w:t>
              <w:br/>
              <w:t>alteration or enlargement or any change whatever.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pBdr>
                <w:bottom w:val="single" w:sz="2" w:space="1" w:color="000000"/>
              </w:pBdr>
              <w:bidi w:val="0"/>
              <w:spacing w:before="0" w:after="20"/>
              <w:jc w:val="left"/>
              <w:rPr/>
            </w:pPr>
            <w:r>
              <w:rPr/>
              <w:t> </w:t>
            </w:r>
          </w:p>
        </w:tc>
      </w:tr>
      <w:tr>
        <w:trPr/>
        <w:tc>
          <w:tcPr>
            <w:tcW w:w="4082" w:type="dxa"/>
            <w:tcBorders/>
            <w:vAlign w:val="bottom"/>
          </w:tcPr>
          <w:p>
            <w:pPr>
              <w:pStyle w:val="TableContents"/>
              <w:bidi w:val="0"/>
              <w:spacing w:before="0" w:after="283"/>
              <w:jc w:val="left"/>
              <w:rPr/>
            </w:pPr>
            <w:r>
              <w:rPr/>
              <w:t>Social Security or Other Taxpayer Identification</w:t>
              <w:br/>
              <w:t>Number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149638dex993.htm"/>
      <w:bookmarkStart w:id="5" w:name="ksd149638dex993"/>
      <w:bookmarkEnd w:id="4"/>
      <w:bookmarkEnd w:id="5"/>
      <w:r>
        <w:rPr>
          <w:rFonts w:ascii="Times New Roman" w:hAnsi="Times New Roman"/>
          <w:b/>
          <w:sz w:val="20"/>
        </w:rPr>
        <w:t xml:space="preserve">Exhibit 99.3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790700" cy="4572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90700" cy="4572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Silicon Motion Technology Corporation Announces Closing of Upsized Offering of $1,150,000,000 of 0.00% Convertible Senior Notes due 2031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Offering includes the exercise in full of the initial purchasers’ option to purchase an additional $150</w:t>
            </w:r>
            <w:r>
              <w:rPr>
                <w:rFonts w:ascii="Times New Roman" w:hAnsi="Times New Roman"/>
                <w:sz w:val="20"/>
              </w:rPr>
              <w:t> </w:t>
            </w:r>
            <w:r>
              <w:rPr>
                <w:rFonts w:ascii="Times New Roman" w:hAnsi="Times New Roman"/>
                <w:i/>
                <w:sz w:val="20"/>
              </w:rPr>
              <w:t>million principal amount of Notes</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TAIPEI, Taiwan and MILPITAS, Calif., August</w:t>
      </w:r>
      <w:r>
        <w:rPr>
          <w:rFonts w:ascii="Times New Roman" w:hAnsi="Times New Roman"/>
          <w:sz w:val="20"/>
        </w:rPr>
        <w:t> </w:t>
      </w:r>
      <w:r>
        <w:rPr>
          <w:rFonts w:ascii="Times New Roman" w:hAnsi="Times New Roman"/>
          <w:b/>
          <w:sz w:val="20"/>
        </w:rPr>
        <w:t>13, 2026 (GLOBE NEWSWIRE)</w:t>
      </w:r>
      <w:r>
        <w:rPr>
          <w:rFonts w:ascii="Times New Roman" w:hAnsi="Times New Roman"/>
          <w:sz w:val="20"/>
        </w:rPr>
        <w:t xml:space="preserve"> – Silicon Motion Technology Corporation (NasdaqGS: SIMO) (“Silicon Motion” or the “Company”), a global leader in designing and marketing NAND flash controllers for solid-state storage devices (“SSDs”), today announced the closing of $1,150,000,000 aggregate principal amount of its 0.00% Convertible Senior Notes due 2031 (the “Notes”), including the exercise in full of the option granted to the initial purchasers to purchase an additional $150,000,000 aggregate principal amount of Notes. The Notes were issued in a private offering to persons reasonably believed to be “qualified institutional buyers” pursuant to Rule 144A under the Securities Act of 1933, as amended. </w:t>
      </w:r>
    </w:p>
    <w:p>
      <w:pPr>
        <w:pStyle w:val="TextBody"/>
        <w:bidi w:val="0"/>
        <w:spacing w:before="240" w:after="0"/>
        <w:jc w:val="left"/>
        <w:rPr/>
      </w:pPr>
      <w:r>
        <w:rPr/>
        <w:t>“</w:t>
      </w:r>
      <w:r>
        <w:rPr>
          <w:rFonts w:ascii="Times New Roman" w:hAnsi="Times New Roman"/>
          <w:sz w:val="20"/>
        </w:rPr>
        <w:t xml:space="preserve">This milestone transaction was significantly oversubscribed and attracted broad institutional support and enabled the Company to upsize the offering from the initial $800 million target to $1.15 billion, on pricing terms among the most favorable for a semiconductor issuer in the convertible bond market. The transaction significantly strengthens the Company’s balance sheet and furnishes the capital required we expect to accelerate growth in our rapidly expanding Enterprise Boot Drive Storage and Ferri for Automotive and Physical AI solutions businesses. Demand for our solutions products continues to expand, and collectively they now represent nearly 30% of our revenue in the second quarter, compared with less than 5% one year ago. With this new $1.15 billion facility at 0%, we believe that we can secure the components needed to support multiple ramps, hold shareholder dilution to a minimum, and convert the growing momentum into profitability and strong cash flow,” said Wallace Kou, Silicon Motion’s President and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August 15, 2031, unless earlier repurchased, redeemed or converted. The initial conversion price of the Notes is approximately $380.50 per American depositary share of Silicon Motion (each, a “ADS” and collectively, the “ADSs”), each representing four ordinary shares of Silicon Motion, par value $0.01 per share. The initial conversion price represents a premium of approximately 65.0% over the last reported sale price of $230.61 per ADS on the Nasdaq Global Select Market on August 10, 2026. The conversion price will be subject to adjustment upon the occurrence of certain events. </w:t>
      </w:r>
    </w:p>
    <w:p>
      <w:pPr>
        <w:pStyle w:val="TextBody"/>
        <w:bidi w:val="0"/>
        <w:spacing w:before="240" w:after="0"/>
        <w:jc w:val="left"/>
        <w:rPr>
          <w:rFonts w:ascii="Times New Roman" w:hAnsi="Times New Roman"/>
          <w:sz w:val="20"/>
        </w:rPr>
      </w:pPr>
      <w:r>
        <w:rPr>
          <w:rFonts w:ascii="Times New Roman" w:hAnsi="Times New Roman"/>
          <w:sz w:val="20"/>
        </w:rPr>
        <w:t xml:space="preserve">The net proceeds from the issuance of the Notes were $1,127 million, after deducting the initial purchasers’ discounts but before deducting estimated offering expenses payable by Silicon Motion. Silicon Motion intends to use the net proceeds from this offering for general corporate purposes and to repay amounts outstanding under its credit agreement. Pending the use of the net proceeds from this offering as described above, Silicon Motion may invest the net proceeds in short-term, investment grade, interest-bearing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790700" cy="457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90700" cy="4572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Silicon Motion will settle each conversion by paying the principal amount (or, if less, the conversion value) of the Notes in cash, and any conversion value in excess of the principal amount will be settled in cash, ADSs, or any combination thereof, at Silicon Motion’s election. </w:t>
      </w:r>
    </w:p>
    <w:p>
      <w:pPr>
        <w:pStyle w:val="TextBody"/>
        <w:bidi w:val="0"/>
        <w:spacing w:before="240" w:after="0"/>
        <w:jc w:val="left"/>
        <w:rPr>
          <w:rFonts w:ascii="Times New Roman" w:hAnsi="Times New Roman"/>
          <w:sz w:val="20"/>
        </w:rPr>
      </w:pPr>
      <w:r>
        <w:rPr>
          <w:rFonts w:ascii="Times New Roman" w:hAnsi="Times New Roman"/>
          <w:sz w:val="20"/>
        </w:rPr>
        <w:t xml:space="preserve">This press release does not constitute an offer to sell, or the solicitation of an offer to buy, the Notes, the ADSs, if any, issuable upon conversion of the Notes or the ordinary shares represented thereby, nor will there be any offer, solicitation or sale of the Notes, any such ADSs or ordinary shares, in any state or other jurisdiction in which such offer, solicitation or sale would be unlawful.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About Silicon Motion Technology Corporation </w:t>
      </w:r>
    </w:p>
    <w:p>
      <w:pPr>
        <w:pStyle w:val="TextBody"/>
        <w:bidi w:val="0"/>
        <w:spacing w:before="120" w:after="0"/>
        <w:jc w:val="left"/>
        <w:rPr>
          <w:rFonts w:ascii="Times New Roman" w:hAnsi="Times New Roman"/>
          <w:sz w:val="20"/>
        </w:rPr>
      </w:pPr>
      <w:r>
        <w:rPr>
          <w:rFonts w:ascii="Times New Roman" w:hAnsi="Times New Roman"/>
          <w:sz w:val="20"/>
        </w:rPr>
        <w:t xml:space="preserve">Silicon Motion Technology Corporation (NasdaqGS: SIMO) is the global leader in supplying NAND flash controllers for SSDs. The company ships more SSD controllers than any other supplier worldwide for servers, PCs, and other edge devices, and is also the leading merchant provider of eMMC and UFS embedded storage controllers used in smartphones, IoT products, and automotive applications. </w:t>
      </w:r>
    </w:p>
    <w:p>
      <w:pPr>
        <w:pStyle w:val="TextBody"/>
        <w:bidi w:val="0"/>
        <w:spacing w:before="240" w:after="0"/>
        <w:jc w:val="left"/>
        <w:rPr>
          <w:rFonts w:ascii="Times New Roman" w:hAnsi="Times New Roman"/>
          <w:sz w:val="20"/>
        </w:rPr>
      </w:pPr>
      <w:r>
        <w:rPr>
          <w:rFonts w:ascii="Times New Roman" w:hAnsi="Times New Roman"/>
          <w:sz w:val="20"/>
        </w:rPr>
        <w:t xml:space="preserve">Silicon Motion also delivers customized, high-performance controller solutions for Enterprise SSDs, Enterprise boot drives, Edge SSDs, Embedded UFS &amp; eMMC, and Ferri solutions for automotive. Its controllers and storage solutions are designed to power the world’s most advanced AI Infrastructure, Edge AI, and Physical AI, combining high performance, low power, and proven reliability.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forward-looking statements, including statements made by Silicon Motion’s management, regarding the intended use of the net proceeds. Forward-looking statements represent Silicon Motion’s current expectations regarding future events and are subject to known and unknown risks and uncertainties that could cause actual results to differ materially from those indicated in, or implied by, the forward-looking statements. Among those risks and uncertainties are market conditions and risks relating to Silicon Motion’s business, including those described in documents Silicon Motion files from time to time with the U.S. Securities and Exchange Commission, including Silicon Motion’s Annual Report on Form 20-F filed with the U.S. Securities and Exchange Commission on April 30, 2026. The forward-looking statements included in this press release speak only as of the date of this press release, and Silicon Motion does not undertake to update the statements included in this press release for subsequent developments, except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Silicon Motion Investor 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54"/>
        <w:gridCol w:w="120"/>
        <w:gridCol w:w="4831"/>
      </w:tblGrid>
      <w:tr>
        <w:trPr/>
        <w:tc>
          <w:tcPr>
            <w:tcW w:w="525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31" w:type="dxa"/>
            <w:tcBorders/>
            <w:vAlign w:val="center"/>
          </w:tcPr>
          <w:p>
            <w:pPr>
              <w:pStyle w:val="TableContents"/>
              <w:bidi w:val="0"/>
              <w:spacing w:before="0" w:after="283"/>
              <w:jc w:val="left"/>
              <w:rPr>
                <w:sz w:val="4"/>
                <w:szCs w:val="4"/>
              </w:rPr>
            </w:pPr>
            <w:r>
              <w:rPr>
                <w:sz w:val="4"/>
                <w:szCs w:val="4"/>
              </w:rPr>
            </w:r>
          </w:p>
        </w:tc>
      </w:tr>
      <w:tr>
        <w:trPr/>
        <w:tc>
          <w:tcPr>
            <w:tcW w:w="5254" w:type="dxa"/>
            <w:tcBorders/>
          </w:tcPr>
          <w:p>
            <w:pPr>
              <w:pStyle w:val="TableContents"/>
              <w:bidi w:val="0"/>
              <w:spacing w:before="0" w:after="0"/>
              <w:jc w:val="left"/>
              <w:rPr>
                <w:rFonts w:ascii="Times New Roman" w:hAnsi="Times New Roman"/>
                <w:sz w:val="20"/>
              </w:rPr>
            </w:pPr>
            <w:r>
              <w:rPr>
                <w:rFonts w:ascii="Times New Roman" w:hAnsi="Times New Roman"/>
                <w:sz w:val="20"/>
              </w:rPr>
              <w:t>Tom Sepenzis</w:t>
            </w:r>
          </w:p>
          <w:p>
            <w:pPr>
              <w:pStyle w:val="TableContents"/>
              <w:bidi w:val="0"/>
              <w:spacing w:before="0" w:after="0"/>
              <w:jc w:val="left"/>
              <w:rPr>
                <w:rFonts w:ascii="Times New Roman" w:hAnsi="Times New Roman"/>
                <w:sz w:val="20"/>
              </w:rPr>
            </w:pPr>
            <w:r>
              <w:rPr>
                <w:rFonts w:ascii="Times New Roman" w:hAnsi="Times New Roman"/>
                <w:sz w:val="20"/>
              </w:rPr>
              <w:t>Vice President of Investor Relations &amp; Strategy</w:t>
            </w:r>
          </w:p>
          <w:p>
            <w:pPr>
              <w:pStyle w:val="TableContents"/>
              <w:bidi w:val="0"/>
              <w:spacing w:before="0" w:after="20"/>
              <w:jc w:val="left"/>
              <w:rPr>
                <w:rFonts w:ascii="Times New Roman" w:hAnsi="Times New Roman"/>
                <w:sz w:val="20"/>
                <w:u w:val="single"/>
              </w:rPr>
            </w:pPr>
            <w:r>
              <w:rPr>
                <w:rFonts w:ascii="Times New Roman" w:hAnsi="Times New Roman"/>
                <w:sz w:val="20"/>
                <w:u w:val="single"/>
              </w:rPr>
              <w:t>tsepenzis@siliconmotion.com</w:t>
            </w:r>
          </w:p>
        </w:tc>
        <w:tc>
          <w:tcPr>
            <w:tcW w:w="120" w:type="dxa"/>
            <w:tcBorders/>
            <w:vAlign w:val="bottom"/>
          </w:tcPr>
          <w:p>
            <w:pPr>
              <w:pStyle w:val="TableContents"/>
              <w:bidi w:val="0"/>
              <w:spacing w:before="0" w:after="283"/>
              <w:jc w:val="left"/>
              <w:rPr/>
            </w:pPr>
            <w:r>
              <w:rPr/>
              <w:t>  </w:t>
            </w:r>
          </w:p>
        </w:tc>
        <w:tc>
          <w:tcPr>
            <w:tcW w:w="4831" w:type="dxa"/>
            <w:tcBorders/>
          </w:tcPr>
          <w:p>
            <w:pPr>
              <w:pStyle w:val="TableContents"/>
              <w:bidi w:val="0"/>
              <w:spacing w:before="0" w:after="0"/>
              <w:jc w:val="left"/>
              <w:rPr>
                <w:rFonts w:ascii="Times New Roman" w:hAnsi="Times New Roman"/>
                <w:sz w:val="20"/>
              </w:rPr>
            </w:pPr>
            <w:r>
              <w:rPr>
                <w:rFonts w:ascii="Times New Roman" w:hAnsi="Times New Roman"/>
                <w:sz w:val="20"/>
              </w:rPr>
              <w:t>Selina Hsieh</w:t>
            </w:r>
          </w:p>
          <w:p>
            <w:pPr>
              <w:pStyle w:val="TableContents"/>
              <w:bidi w:val="0"/>
              <w:spacing w:before="0" w:after="0"/>
              <w:jc w:val="left"/>
              <w:rPr>
                <w:rFonts w:ascii="Times New Roman" w:hAnsi="Times New Roman"/>
                <w:sz w:val="20"/>
              </w:rPr>
            </w:pPr>
            <w:r>
              <w:rPr>
                <w:rFonts w:ascii="Times New Roman" w:hAnsi="Times New Roman"/>
                <w:sz w:val="20"/>
              </w:rPr>
              <w:t>Investor Relations</w:t>
            </w:r>
          </w:p>
          <w:p>
            <w:pPr>
              <w:pStyle w:val="TableContents"/>
              <w:bidi w:val="0"/>
              <w:spacing w:before="0" w:after="20"/>
              <w:jc w:val="left"/>
              <w:rPr>
                <w:rFonts w:ascii="Times New Roman" w:hAnsi="Times New Roman"/>
                <w:sz w:val="20"/>
                <w:u w:val="single"/>
              </w:rPr>
            </w:pPr>
            <w:r>
              <w:rPr>
                <w:rFonts w:ascii="Times New Roman" w:hAnsi="Times New Roman"/>
                <w:sz w:val="20"/>
                <w:u w:val="single"/>
              </w:rPr>
              <w:t>ir@siliconmotion.com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7.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137</Pages>
  <Words>65794</Words>
  <Characters>334093</Characters>
  <CharactersWithSpaces>400821</CharactersWithSpaces>
  <Paragraphs>2861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